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ind w:firstLine="0" w:firstLineChars="0"/>
        <w:jc w:val="center"/>
        <w:rPr>
          <w:rFonts w:ascii="宋体" w:hAnsi="Courier New" w:eastAsia="黑体" w:cs="Times New Roman"/>
          <w:b/>
          <w:kern w:val="2"/>
          <w:sz w:val="32"/>
          <w:szCs w:val="32"/>
          <w:lang w:bidi="ar-SA"/>
        </w:rPr>
      </w:pPr>
      <w:bookmarkStart w:id="0" w:name="OLE_LINK7"/>
      <w:bookmarkStart w:id="1" w:name="_Toc34064617"/>
      <w:bookmarkStart w:id="2" w:name="_Toc34064675"/>
      <w:r>
        <w:rPr>
          <w:rFonts w:hint="eastAsia" w:ascii="宋体" w:hAnsi="Courier New" w:eastAsia="黑体" w:cs="Times New Roman"/>
          <w:b/>
          <w:kern w:val="2"/>
          <w:sz w:val="32"/>
          <w:szCs w:val="32"/>
          <w:lang w:bidi="ar-SA"/>
        </w:rPr>
        <w:t>团体标准《通辽肉牛屠宰操作规程》(征求意见稿)</w:t>
      </w:r>
    </w:p>
    <w:p>
      <w:pPr>
        <w:widowControl w:val="0"/>
        <w:adjustRightInd/>
        <w:snapToGrid/>
        <w:ind w:firstLine="0" w:firstLineChars="0"/>
        <w:jc w:val="center"/>
        <w:rPr>
          <w:rFonts w:ascii="宋体" w:hAnsi="Courier New" w:eastAsia="黑体" w:cs="Times New Roman"/>
          <w:b/>
          <w:kern w:val="2"/>
          <w:sz w:val="32"/>
          <w:szCs w:val="32"/>
          <w:lang w:bidi="ar-SA"/>
        </w:rPr>
      </w:pPr>
      <w:r>
        <w:rPr>
          <w:rFonts w:hint="eastAsia" w:ascii="宋体" w:hAnsi="Courier New" w:eastAsia="黑体" w:cs="Times New Roman"/>
          <w:b/>
          <w:kern w:val="2"/>
          <w:sz w:val="32"/>
          <w:szCs w:val="32"/>
          <w:lang w:bidi="ar-SA"/>
        </w:rPr>
        <w:t>编制说明</w:t>
      </w:r>
    </w:p>
    <w:bookmarkEnd w:id="0"/>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一、工作简况</w:t>
      </w:r>
      <w:bookmarkStart w:id="3" w:name="OLE_LINK9"/>
    </w:p>
    <w:bookmarkEnd w:id="3"/>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4" w:name="OLE_LINK13"/>
      <w:r>
        <w:rPr>
          <w:rFonts w:hint="eastAsia" w:ascii="Times New Roman" w:hAnsi="Times New Roman" w:eastAsia="楷体" w:cs="Times New Roman"/>
          <w:kern w:val="2"/>
          <w:sz w:val="28"/>
          <w:lang w:bidi="ar-SA"/>
        </w:rPr>
        <w:t>（一）任务来源</w:t>
      </w:r>
    </w:p>
    <w:bookmarkEnd w:id="4"/>
    <w:p>
      <w:pPr>
        <w:ind w:firstLine="480"/>
        <w:rPr>
          <w:rFonts w:ascii="Times New Roman" w:hAnsi="Times New Roman" w:cs="Times New Roman"/>
          <w:snapToGrid w:val="0"/>
          <w:sz w:val="24"/>
          <w:szCs w:val="24"/>
        </w:rPr>
      </w:pPr>
      <w:r>
        <w:rPr>
          <w:snapToGrid w:val="0"/>
          <w:sz w:val="24"/>
          <w:szCs w:val="24"/>
        </w:rPr>
        <w:t>本</w:t>
      </w:r>
      <w:r>
        <w:rPr>
          <w:rFonts w:hint="eastAsia"/>
          <w:snapToGrid w:val="0"/>
          <w:sz w:val="24"/>
          <w:szCs w:val="24"/>
        </w:rPr>
        <w:t>任务来自中国肉类</w:t>
      </w:r>
      <w:r>
        <w:rPr>
          <w:rFonts w:ascii="Times New Roman" w:hAnsi="Times New Roman" w:cs="Times New Roman"/>
          <w:snapToGrid w:val="0"/>
          <w:sz w:val="24"/>
          <w:szCs w:val="24"/>
        </w:rPr>
        <w:t>协会202</w:t>
      </w:r>
      <w:r>
        <w:rPr>
          <w:rFonts w:hint="eastAsia" w:ascii="Times New Roman" w:hAnsi="Times New Roman" w:cs="Times New Roman"/>
          <w:snapToGrid w:val="0"/>
          <w:sz w:val="24"/>
          <w:szCs w:val="24"/>
        </w:rPr>
        <w:t>5</w:t>
      </w:r>
      <w:r>
        <w:rPr>
          <w:rFonts w:ascii="Times New Roman" w:hAnsi="Times New Roman" w:cs="Times New Roman"/>
          <w:snapToGrid w:val="0"/>
          <w:sz w:val="24"/>
          <w:szCs w:val="24"/>
        </w:rPr>
        <w:t>年标准修订项目。肉牛产业是通辽市优势特色主导产业，具有中国草原肉牛之都等美誉。2023年《内蒙古自治区政府工作报告》特别提出“支持通辽建设全国肉牛产业第一重镇”，同年我市发布《通辽全国肉牛产业第一重镇建设白皮书》，为助力“通辽肉牛”向“通辽牛肉”转变，提高通辽肉牛产业发展的质量和效益、支撑通辽牛肉品质提升、品牌打造。</w:t>
      </w:r>
    </w:p>
    <w:p>
      <w:pPr>
        <w:pStyle w:val="3"/>
        <w:keepNext w:val="0"/>
        <w:keepLines w:val="0"/>
        <w:spacing w:line="500" w:lineRule="exact"/>
        <w:ind w:firstLine="560"/>
        <w:rPr>
          <w:rFonts w:ascii="Times New Roman" w:hAnsi="Times New Roman"/>
          <w:sz w:val="28"/>
        </w:rPr>
      </w:pPr>
      <w:r>
        <w:rPr>
          <w:rFonts w:ascii="Times New Roman" w:hAnsi="Times New Roman"/>
          <w:sz w:val="28"/>
        </w:rPr>
        <w:t>（二）起草单位</w:t>
      </w:r>
      <w:r>
        <w:rPr>
          <w:rFonts w:hint="eastAsia" w:ascii="Times New Roman" w:hAnsi="Times New Roman"/>
          <w:sz w:val="28"/>
        </w:rPr>
        <w:t>、起草人</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略。</w:t>
      </w:r>
    </w:p>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5" w:name="OLE_LINK18"/>
      <w:r>
        <w:rPr>
          <w:rFonts w:hint="eastAsia" w:ascii="Times New Roman" w:hAnsi="Times New Roman" w:eastAsia="楷体" w:cs="Times New Roman"/>
          <w:kern w:val="2"/>
          <w:sz w:val="28"/>
          <w:lang w:bidi="ar-SA"/>
        </w:rPr>
        <w:t>（三）主要工作过程</w:t>
      </w:r>
    </w:p>
    <w:bookmarkEnd w:id="5"/>
    <w:p>
      <w:pPr>
        <w:ind w:firstLine="482"/>
        <w:rPr>
          <w:rFonts w:hint="eastAsia"/>
          <w:b/>
          <w:bCs/>
          <w:snapToGrid w:val="0"/>
          <w:sz w:val="24"/>
          <w:szCs w:val="24"/>
        </w:rPr>
      </w:pPr>
      <w:bookmarkStart w:id="6" w:name="OLE_LINK28"/>
      <w:r>
        <w:rPr>
          <w:b/>
          <w:bCs/>
          <w:snapToGrid w:val="0"/>
          <w:sz w:val="24"/>
          <w:szCs w:val="24"/>
        </w:rPr>
        <w:t>1.起草阶段</w:t>
      </w:r>
    </w:p>
    <w:bookmarkEnd w:id="6"/>
    <w:p>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1）2025年1月-3月，收集与起草标准需求相关的国家标准、政策法规、技术资料等信息，对资料进行分析，为标准起草工作提供依据。</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2</w:t>
      </w:r>
      <w:r>
        <w:rPr>
          <w:rFonts w:ascii="Times New Roman" w:hAnsi="Times New Roman" w:cs="Times New Roman"/>
          <w:snapToGrid w:val="0"/>
          <w:sz w:val="24"/>
          <w:szCs w:val="24"/>
        </w:rPr>
        <w:t>）2025年4月12日，团体标准起草工作组完成了《通辽肉牛屠宰操作规程》工作组讨论稿。</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3</w:t>
      </w:r>
      <w:r>
        <w:rPr>
          <w:rFonts w:ascii="Times New Roman" w:hAnsi="Times New Roman" w:cs="Times New Roman"/>
          <w:snapToGrid w:val="0"/>
          <w:sz w:val="24"/>
          <w:szCs w:val="24"/>
        </w:rPr>
        <w:t>）202</w:t>
      </w:r>
      <w:r>
        <w:rPr>
          <w:rFonts w:hint="eastAsia" w:ascii="Times New Roman" w:hAnsi="Times New Roman" w:cs="Times New Roman"/>
          <w:snapToGrid w:val="0"/>
          <w:sz w:val="24"/>
          <w:szCs w:val="24"/>
          <w:lang w:val="en-US" w:eastAsia="zh-CN"/>
        </w:rPr>
        <w:t>5</w:t>
      </w:r>
      <w:r>
        <w:rPr>
          <w:rFonts w:ascii="Times New Roman" w:hAnsi="Times New Roman" w:cs="Times New Roman"/>
          <w:snapToGrid w:val="0"/>
          <w:sz w:val="24"/>
          <w:szCs w:val="24"/>
        </w:rPr>
        <w:t>年4月21-23日，起草工作组考察了通辽市多家肉牛加工企业，在通辽市召开了标准起草工作组会议，邀请行业专家代表及企业专家代表参与讨论，确保修订结果的准确性和全面性。根据会议讨论意见，对标准讨论稿进行调整、修改和内容补充，形成了《通辽肉牛屠宰操作规程》征求意见稿。</w:t>
      </w:r>
    </w:p>
    <w:p>
      <w:pPr>
        <w:ind w:firstLine="482"/>
        <w:rPr>
          <w:rFonts w:hint="eastAsia"/>
          <w:b/>
          <w:bCs/>
          <w:snapToGrid w:val="0"/>
          <w:sz w:val="24"/>
          <w:szCs w:val="24"/>
        </w:rPr>
      </w:pPr>
      <w:r>
        <w:rPr>
          <w:rFonts w:hint="eastAsia"/>
          <w:b/>
          <w:bCs/>
          <w:snapToGrid w:val="0"/>
          <w:sz w:val="24"/>
          <w:szCs w:val="24"/>
        </w:rPr>
        <w:t>2</w:t>
      </w:r>
      <w:r>
        <w:rPr>
          <w:b/>
          <w:bCs/>
          <w:snapToGrid w:val="0"/>
          <w:sz w:val="24"/>
          <w:szCs w:val="24"/>
        </w:rPr>
        <w:t>.</w:t>
      </w:r>
      <w:r>
        <w:rPr>
          <w:rFonts w:hint="eastAsia"/>
          <w:b/>
          <w:bCs/>
          <w:snapToGrid w:val="0"/>
          <w:sz w:val="24"/>
          <w:szCs w:val="24"/>
        </w:rPr>
        <w:t>征求意见阶段</w:t>
      </w:r>
    </w:p>
    <w:p>
      <w:pPr>
        <w:pStyle w:val="6"/>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w:t>
      </w:r>
    </w:p>
    <w:p>
      <w:pPr>
        <w:ind w:firstLine="482"/>
        <w:rPr>
          <w:rFonts w:hint="eastAsia"/>
          <w:b/>
          <w:bCs/>
          <w:snapToGrid w:val="0"/>
          <w:sz w:val="24"/>
          <w:szCs w:val="24"/>
        </w:rPr>
      </w:pPr>
      <w:r>
        <w:rPr>
          <w:rFonts w:hint="eastAsia"/>
          <w:b/>
          <w:bCs/>
          <w:snapToGrid w:val="0"/>
          <w:sz w:val="24"/>
          <w:szCs w:val="24"/>
        </w:rPr>
        <w:t>3.审查阶段</w:t>
      </w:r>
      <w:bookmarkStart w:id="7" w:name="OLE_LINK129"/>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w:t>
      </w:r>
    </w:p>
    <w:p>
      <w:pPr>
        <w:pStyle w:val="2"/>
        <w:keepNext w:val="0"/>
        <w:keepLines w:val="0"/>
        <w:widowControl w:val="0"/>
        <w:adjustRightInd/>
        <w:snapToGrid/>
        <w:ind w:firstLine="560"/>
        <w:rPr>
          <w:rFonts w:ascii="Times New Roman" w:hAnsi="Times New Roman" w:cs="Times New Roman"/>
          <w:b w:val="0"/>
          <w:bCs/>
          <w:szCs w:val="44"/>
          <w:lang w:bidi="ar-SA"/>
        </w:rPr>
      </w:pPr>
      <w:bookmarkStart w:id="8" w:name="OLE_LINK20"/>
      <w:bookmarkStart w:id="9" w:name="OLE_LINK19"/>
      <w:r>
        <w:rPr>
          <w:rFonts w:hint="eastAsia" w:ascii="Times New Roman" w:hAnsi="Times New Roman" w:cs="Times New Roman"/>
          <w:b w:val="0"/>
          <w:bCs/>
          <w:szCs w:val="44"/>
          <w:lang w:bidi="ar-SA"/>
        </w:rPr>
        <w:t>二、标准编制原则和确定标准主要内容的依据</w:t>
      </w:r>
    </w:p>
    <w:bookmarkEnd w:id="7"/>
    <w:bookmarkEnd w:id="8"/>
    <w:bookmarkEnd w:id="9"/>
    <w:p>
      <w:pPr>
        <w:pStyle w:val="3"/>
        <w:keepNext w:val="0"/>
        <w:keepLines w:val="0"/>
        <w:widowControl w:val="0"/>
        <w:adjustRightInd/>
        <w:snapToGrid/>
        <w:ind w:firstLine="562"/>
        <w:rPr>
          <w:rFonts w:ascii="Times New Roman" w:hAnsi="Times New Roman" w:eastAsia="楷体" w:cs="Times New Roman"/>
          <w:kern w:val="2"/>
          <w:sz w:val="28"/>
          <w:lang w:bidi="ar-SA"/>
        </w:rPr>
      </w:pPr>
      <w:bookmarkStart w:id="10" w:name="OLE_LINK21"/>
      <w:r>
        <w:rPr>
          <w:rFonts w:hint="eastAsia" w:ascii="Times New Roman" w:hAnsi="Times New Roman" w:eastAsia="楷体" w:cs="Times New Roman"/>
          <w:kern w:val="2"/>
          <w:sz w:val="28"/>
          <w:lang w:bidi="ar-SA"/>
        </w:rPr>
        <w:t>（一）标准的修订原则</w:t>
      </w:r>
    </w:p>
    <w:bookmarkEnd w:id="10"/>
    <w:p>
      <w:pPr>
        <w:ind w:firstLine="480"/>
        <w:rPr>
          <w:rFonts w:ascii="Times New Roman" w:hAnsi="Times New Roman" w:cs="Times New Roman"/>
          <w:snapToGrid w:val="0"/>
          <w:sz w:val="24"/>
          <w:szCs w:val="24"/>
        </w:rPr>
      </w:pPr>
      <w:r>
        <w:rPr>
          <w:rFonts w:ascii="Times New Roman" w:hAnsi="Times New Roman" w:cs="Times New Roman"/>
          <w:snapToGrid w:val="0"/>
          <w:sz w:val="24"/>
          <w:szCs w:val="24"/>
        </w:rPr>
        <w:t>按照GB/T 1.1</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2020《标准化工作导则 第1部分：标准化文件的结构和起草规则》、GB/T 1.2</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2020《标准化工作导则 第2部分：以ISO/IEC标准化文件为基础的标准化文件起草规则》、GB/T 20001.4</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2015《标准编制规则 第4部分：试验方法标准》的规定和要求</w:t>
      </w:r>
      <w:r>
        <w:rPr>
          <w:rFonts w:hint="eastAsia" w:ascii="Times New Roman" w:hAnsi="Times New Roman" w:cs="Times New Roman"/>
          <w:snapToGrid w:val="0"/>
          <w:sz w:val="24"/>
          <w:szCs w:val="24"/>
        </w:rPr>
        <w:t>对标准进行修订编写</w:t>
      </w:r>
      <w:r>
        <w:rPr>
          <w:rFonts w:ascii="Times New Roman" w:hAnsi="Times New Roman" w:cs="Times New Roman"/>
          <w:snapToGrid w:val="0"/>
          <w:sz w:val="24"/>
          <w:szCs w:val="24"/>
        </w:rPr>
        <w:t>。</w:t>
      </w:r>
      <w:r>
        <w:rPr>
          <w:rFonts w:hint="eastAsia" w:ascii="Times New Roman" w:hAnsi="Times New Roman" w:cs="Times New Roman"/>
          <w:snapToGrid w:val="0"/>
          <w:sz w:val="24"/>
          <w:szCs w:val="24"/>
        </w:rPr>
        <w:t>本标准的修订遵循以下原则：</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一是</w:t>
      </w:r>
      <w:r>
        <w:rPr>
          <w:rFonts w:ascii="Times New Roman" w:hAnsi="Times New Roman" w:cs="Times New Roman"/>
          <w:snapToGrid w:val="0"/>
          <w:sz w:val="24"/>
          <w:szCs w:val="24"/>
        </w:rPr>
        <w:t>先进性和前瞻性</w:t>
      </w:r>
      <w:r>
        <w:rPr>
          <w:rFonts w:hint="eastAsia" w:ascii="Times New Roman" w:hAnsi="Times New Roman" w:cs="Times New Roman"/>
          <w:snapToGrid w:val="0"/>
          <w:sz w:val="24"/>
          <w:szCs w:val="24"/>
        </w:rPr>
        <w:t>。</w:t>
      </w:r>
      <w:r>
        <w:rPr>
          <w:rFonts w:ascii="Times New Roman" w:hAnsi="Times New Roman" w:cs="Times New Roman"/>
          <w:snapToGrid w:val="0"/>
          <w:sz w:val="24"/>
          <w:szCs w:val="24"/>
        </w:rPr>
        <w:t>本标准制定中，突出了通辽肉牛的特征，提升了产品的先进性、符合行业未来发展趋势。</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二是</w:t>
      </w:r>
      <w:r>
        <w:rPr>
          <w:rFonts w:ascii="Times New Roman" w:hAnsi="Times New Roman" w:cs="Times New Roman"/>
          <w:snapToGrid w:val="0"/>
          <w:sz w:val="24"/>
          <w:szCs w:val="24"/>
        </w:rPr>
        <w:t>科学性</w:t>
      </w:r>
      <w:r>
        <w:rPr>
          <w:rFonts w:hint="eastAsia" w:ascii="Times New Roman" w:hAnsi="Times New Roman" w:cs="Times New Roman"/>
          <w:snapToGrid w:val="0"/>
          <w:sz w:val="24"/>
          <w:szCs w:val="24"/>
        </w:rPr>
        <w:t>原则。</w:t>
      </w:r>
      <w:r>
        <w:rPr>
          <w:rFonts w:ascii="Times New Roman" w:hAnsi="Times New Roman" w:cs="Times New Roman"/>
          <w:snapToGrid w:val="0"/>
          <w:sz w:val="24"/>
          <w:szCs w:val="24"/>
        </w:rPr>
        <w:t>根据实际调研情况产品特性及工艺特点合理规定技术要求，多次调研和征集通辽当地牛肉屠宰企业意见，遵照与我国现行食品法律、法规协调一致的原则，参考国内外法规、标准和有关文献资料，科学地确定标准体系框架与修订内容，并对其进行详细的说明。</w:t>
      </w:r>
    </w:p>
    <w:p>
      <w:pPr>
        <w:ind w:firstLine="480"/>
        <w:rPr>
          <w:rFonts w:ascii="Times New Roman" w:hAnsi="Times New Roman" w:cs="Times New Roman"/>
          <w:snapToGrid w:val="0"/>
          <w:sz w:val="24"/>
          <w:szCs w:val="24"/>
        </w:rPr>
      </w:pPr>
      <w:r>
        <w:rPr>
          <w:rFonts w:hint="eastAsia" w:ascii="Times New Roman" w:hAnsi="Times New Roman" w:cs="Times New Roman"/>
          <w:snapToGrid w:val="0"/>
          <w:sz w:val="24"/>
          <w:szCs w:val="24"/>
        </w:rPr>
        <w:t>三是</w:t>
      </w:r>
      <w:r>
        <w:rPr>
          <w:rFonts w:ascii="Times New Roman" w:hAnsi="Times New Roman" w:cs="Times New Roman"/>
          <w:snapToGrid w:val="0"/>
          <w:sz w:val="24"/>
          <w:szCs w:val="24"/>
        </w:rPr>
        <w:t>适用性</w:t>
      </w:r>
      <w:r>
        <w:rPr>
          <w:rFonts w:hint="eastAsia" w:ascii="Times New Roman" w:hAnsi="Times New Roman" w:cs="Times New Roman"/>
          <w:snapToGrid w:val="0"/>
          <w:sz w:val="24"/>
          <w:szCs w:val="24"/>
        </w:rPr>
        <w:t>原则。</w:t>
      </w:r>
      <w:r>
        <w:rPr>
          <w:rFonts w:ascii="Times New Roman" w:hAnsi="Times New Roman" w:cs="Times New Roman"/>
          <w:snapToGrid w:val="0"/>
          <w:sz w:val="24"/>
          <w:szCs w:val="24"/>
        </w:rPr>
        <w:t>本标准与我国现行食品法律、法规协调一致，标准内容便于操作实施，技术要求便于核查管理。在标准修订调研与讨论稿形成过程中，着重考虑了中国肉类协会等相关协会、通辽当地屠宰加工企业的标准修订意见，以使标准在符合牛肉屠宰加工龙头企业的同时，也适用于通辽当地中小规模化屠宰加工业。</w:t>
      </w:r>
    </w:p>
    <w:p>
      <w:pPr>
        <w:pStyle w:val="3"/>
        <w:keepNext w:val="0"/>
        <w:keepLines w:val="0"/>
        <w:widowControl w:val="0"/>
        <w:adjustRightInd/>
        <w:snapToGrid/>
        <w:ind w:firstLine="562"/>
        <w:rPr>
          <w:rFonts w:ascii="Times New Roman" w:hAnsi="Times New Roman" w:eastAsia="楷体" w:cs="Times New Roman"/>
          <w:kern w:val="2"/>
          <w:sz w:val="28"/>
          <w:lang w:bidi="ar-SA"/>
        </w:rPr>
      </w:pPr>
      <w:r>
        <w:rPr>
          <w:rFonts w:hint="eastAsia" w:ascii="Times New Roman" w:hAnsi="Times New Roman" w:eastAsia="楷体" w:cs="Times New Roman"/>
          <w:kern w:val="2"/>
          <w:sz w:val="28"/>
          <w:lang w:bidi="ar-SA"/>
        </w:rPr>
        <w:t>（二）主要内容的依据</w:t>
      </w:r>
    </w:p>
    <w:p>
      <w:pPr>
        <w:adjustRightInd/>
        <w:snapToGrid/>
        <w:ind w:firstLine="482"/>
        <w:rPr>
          <w:rFonts w:ascii="Times New Roman" w:hAnsi="Times New Roman" w:eastAsia="宋体" w:cs="Times New Roman"/>
          <w:b/>
          <w:bCs/>
          <w:kern w:val="2"/>
          <w:sz w:val="24"/>
          <w:szCs w:val="24"/>
          <w:lang w:bidi="ar-SA"/>
        </w:rPr>
      </w:pPr>
      <w:bookmarkStart w:id="11" w:name="OLE_LINK22"/>
      <w:r>
        <w:rPr>
          <w:rFonts w:ascii="Times New Roman" w:hAnsi="Times New Roman" w:eastAsia="宋体" w:cs="Times New Roman"/>
          <w:b/>
          <w:bCs/>
          <w:kern w:val="2"/>
          <w:sz w:val="24"/>
          <w:szCs w:val="24"/>
          <w:lang w:bidi="ar-SA"/>
        </w:rPr>
        <w:t>1 范围</w:t>
      </w:r>
      <w:bookmarkEnd w:id="1"/>
      <w:bookmarkEnd w:id="2"/>
    </w:p>
    <w:bookmarkEnd w:id="11"/>
    <w:p>
      <w:pPr>
        <w:pStyle w:val="29"/>
        <w:ind w:firstLine="482"/>
        <w:rPr>
          <w:rFonts w:ascii="Times New Roman"/>
          <w:b/>
          <w:bCs/>
          <w:snapToGrid w:val="0"/>
          <w:sz w:val="24"/>
          <w:szCs w:val="24"/>
        </w:rPr>
      </w:pPr>
      <w:r>
        <w:rPr>
          <w:rFonts w:hint="eastAsia" w:ascii="Times New Roman"/>
          <w:b/>
          <w:bCs/>
          <w:snapToGrid w:val="0"/>
          <w:sz w:val="24"/>
          <w:szCs w:val="24"/>
        </w:rPr>
        <w:t>标准文本：</w:t>
      </w:r>
    </w:p>
    <w:p>
      <w:pPr>
        <w:ind w:firstLine="482"/>
        <w:rPr>
          <w:rFonts w:hint="eastAsia" w:ascii="Times New Roman"/>
          <w:snapToGrid w:val="0"/>
          <w:sz w:val="24"/>
          <w:szCs w:val="24"/>
        </w:rPr>
      </w:pPr>
      <w:bookmarkStart w:id="12" w:name="OLE_LINK3"/>
      <w:r>
        <w:rPr>
          <w:rFonts w:hint="eastAsia" w:ascii="Times New Roman"/>
          <w:snapToGrid w:val="0"/>
          <w:sz w:val="24"/>
          <w:szCs w:val="24"/>
        </w:rPr>
        <w:t>本文件规定了通辽肉牛的宰前要求、屠宰操作程序及要求、包装、标签、标志和贮存</w:t>
      </w:r>
      <w:r>
        <w:rPr>
          <w:rFonts w:hint="eastAsia" w:ascii="Times New Roman"/>
          <w:snapToGrid w:val="0"/>
          <w:sz w:val="24"/>
          <w:szCs w:val="24"/>
          <w:lang w:eastAsia="zh-CN"/>
        </w:rPr>
        <w:t>、</w:t>
      </w:r>
      <w:r>
        <w:rPr>
          <w:rFonts w:hint="eastAsia" w:ascii="Times New Roman"/>
          <w:snapToGrid w:val="0"/>
          <w:sz w:val="24"/>
          <w:szCs w:val="24"/>
          <w:lang w:val="en-US" w:eastAsia="zh-CN"/>
        </w:rPr>
        <w:t>产品追溯和</w:t>
      </w:r>
      <w:r>
        <w:rPr>
          <w:rFonts w:hint="eastAsia" w:ascii="Times New Roman"/>
          <w:snapToGrid w:val="0"/>
          <w:sz w:val="24"/>
          <w:szCs w:val="24"/>
        </w:rPr>
        <w:t>其他要求。</w:t>
      </w:r>
    </w:p>
    <w:p>
      <w:pPr>
        <w:ind w:firstLine="482"/>
        <w:rPr>
          <w:rFonts w:hint="eastAsia" w:ascii="Times New Roman"/>
          <w:snapToGrid w:val="0"/>
          <w:sz w:val="24"/>
          <w:szCs w:val="24"/>
        </w:rPr>
      </w:pPr>
      <w:r>
        <w:rPr>
          <w:rFonts w:hint="eastAsia" w:ascii="Times New Roman"/>
          <w:snapToGrid w:val="0"/>
          <w:sz w:val="24"/>
          <w:szCs w:val="24"/>
        </w:rPr>
        <w:t>本文件适用于通辽</w:t>
      </w:r>
      <w:r>
        <w:rPr>
          <w:rFonts w:hint="eastAsia" w:ascii="Times New Roman"/>
          <w:snapToGrid w:val="0"/>
          <w:sz w:val="24"/>
          <w:szCs w:val="24"/>
          <w:lang w:val="en-US" w:eastAsia="zh-CN"/>
        </w:rPr>
        <w:t>肉</w:t>
      </w:r>
      <w:r>
        <w:rPr>
          <w:rFonts w:hint="eastAsia" w:ascii="Times New Roman"/>
          <w:snapToGrid w:val="0"/>
          <w:sz w:val="24"/>
          <w:szCs w:val="24"/>
        </w:rPr>
        <w:t>牛屠宰厂（场）的屠宰</w:t>
      </w:r>
      <w:r>
        <w:rPr>
          <w:rFonts w:hint="eastAsia" w:ascii="Times New Roman"/>
          <w:snapToGrid w:val="0"/>
          <w:sz w:val="24"/>
          <w:szCs w:val="24"/>
          <w:lang w:val="en-US" w:eastAsia="zh-CN"/>
        </w:rPr>
        <w:t>操作</w:t>
      </w:r>
      <w:r>
        <w:rPr>
          <w:rFonts w:hint="eastAsia" w:ascii="Times New Roman"/>
          <w:snapToGrid w:val="0"/>
          <w:sz w:val="24"/>
          <w:szCs w:val="24"/>
        </w:rPr>
        <w:t>。</w:t>
      </w:r>
    </w:p>
    <w:bookmarkEnd w:id="12"/>
    <w:p>
      <w:pPr>
        <w:ind w:firstLine="482"/>
        <w:rPr>
          <w:rFonts w:hint="eastAsia"/>
          <w:b/>
          <w:sz w:val="24"/>
        </w:rPr>
      </w:pPr>
      <w:bookmarkStart w:id="13" w:name="OLE_LINK31"/>
      <w:r>
        <w:rPr>
          <w:rFonts w:hint="eastAsia"/>
          <w:b/>
          <w:sz w:val="24"/>
        </w:rPr>
        <w:t>制定依据：</w:t>
      </w:r>
      <w:bookmarkEnd w:id="13"/>
    </w:p>
    <w:p>
      <w:pPr>
        <w:ind w:firstLine="480"/>
        <w:rPr>
          <w:rFonts w:hint="eastAsia"/>
          <w:b/>
          <w:sz w:val="24"/>
        </w:rPr>
      </w:pPr>
      <w:r>
        <w:rPr>
          <w:rFonts w:hint="eastAsia"/>
          <w:bCs/>
          <w:sz w:val="24"/>
        </w:rPr>
        <w:t>参考GB/T 19477《畜禽屠宰操作规程 牛》的范围进行制定。</w:t>
      </w:r>
    </w:p>
    <w:p>
      <w:pPr>
        <w:pStyle w:val="33"/>
        <w:numPr>
          <w:ilvl w:val="0"/>
          <w:numId w:val="0"/>
        </w:numPr>
        <w:spacing w:beforeLines="0" w:afterLines="0" w:line="360" w:lineRule="auto"/>
        <w:ind w:firstLine="480" w:firstLineChars="200"/>
        <w:rPr>
          <w:rFonts w:ascii="Times New Roman" w:eastAsia="宋体"/>
          <w:b/>
          <w:bCs/>
          <w:snapToGrid w:val="0"/>
          <w:sz w:val="24"/>
          <w:szCs w:val="24"/>
        </w:rPr>
      </w:pPr>
      <w:bookmarkStart w:id="14" w:name="_Toc34064618"/>
      <w:bookmarkStart w:id="15" w:name="_Toc34064676"/>
      <w:bookmarkStart w:id="16" w:name="OLE_LINK34"/>
      <w:r>
        <w:rPr>
          <w:rFonts w:ascii="Times New Roman" w:eastAsia="宋体"/>
          <w:b/>
          <w:bCs/>
          <w:snapToGrid w:val="0"/>
          <w:sz w:val="24"/>
          <w:szCs w:val="24"/>
        </w:rPr>
        <w:t>2 规范性引用文件</w:t>
      </w:r>
      <w:bookmarkEnd w:id="14"/>
      <w:bookmarkEnd w:id="15"/>
    </w:p>
    <w:bookmarkEnd w:id="16"/>
    <w:p>
      <w:pPr>
        <w:pStyle w:val="29"/>
        <w:ind w:firstLine="482"/>
        <w:rPr>
          <w:rFonts w:ascii="Times New Roman"/>
          <w:b/>
          <w:bCs/>
          <w:snapToGrid w:val="0"/>
          <w:sz w:val="24"/>
          <w:szCs w:val="24"/>
        </w:rPr>
      </w:pPr>
      <w:r>
        <w:rPr>
          <w:rFonts w:hint="eastAsia" w:ascii="Times New Roman"/>
          <w:b/>
          <w:bCs/>
          <w:snapToGrid w:val="0"/>
          <w:sz w:val="24"/>
          <w:szCs w:val="24"/>
        </w:rPr>
        <w:t>标准文本：</w:t>
      </w:r>
    </w:p>
    <w:p>
      <w:pPr>
        <w:pStyle w:val="29"/>
        <w:ind w:firstLine="480"/>
        <w:rPr>
          <w:rFonts w:ascii="Times New Roman"/>
          <w:snapToGrid w:val="0"/>
          <w:sz w:val="24"/>
          <w:szCs w:val="24"/>
        </w:rPr>
      </w:pPr>
      <w:bookmarkStart w:id="17" w:name="OLE_LINK38"/>
      <w:bookmarkStart w:id="18" w:name="_Toc34064619"/>
      <w:bookmarkStart w:id="19" w:name="_Toc28096568"/>
      <w:bookmarkStart w:id="20" w:name="_Toc34064677"/>
      <w:bookmarkStart w:id="21" w:name="_Toc28093197"/>
      <w:bookmarkStart w:id="22" w:name="_Toc28158537"/>
      <w:r>
        <w:rPr>
          <w:rFonts w:hint="eastAsia" w:ascii="Times New Roman"/>
          <w:snapToGrid w:val="0"/>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9"/>
        <w:ind w:firstLine="482"/>
        <w:rPr>
          <w:rFonts w:hint="eastAsia" w:ascii="Times New Roman"/>
          <w:snapToGrid w:val="0"/>
          <w:sz w:val="24"/>
          <w:szCs w:val="24"/>
        </w:rPr>
      </w:pPr>
      <w:r>
        <w:rPr>
          <w:rFonts w:hint="eastAsia" w:ascii="Times New Roman"/>
          <w:snapToGrid w:val="0"/>
          <w:sz w:val="24"/>
          <w:szCs w:val="24"/>
        </w:rPr>
        <w:t>GB/T 191</w:t>
      </w:r>
      <w:r>
        <w:rPr>
          <w:rFonts w:hint="eastAsia" w:ascii="Times New Roman"/>
          <w:snapToGrid w:val="0"/>
          <w:sz w:val="24"/>
          <w:szCs w:val="24"/>
          <w:lang w:val="en-US" w:eastAsia="zh-CN"/>
        </w:rPr>
        <w:t xml:space="preserve"> </w:t>
      </w:r>
      <w:r>
        <w:rPr>
          <w:rFonts w:hint="eastAsia" w:ascii="Times New Roman"/>
          <w:snapToGrid w:val="0"/>
          <w:sz w:val="24"/>
          <w:szCs w:val="24"/>
        </w:rPr>
        <w:t xml:space="preserve"> 包装储运图示标志</w:t>
      </w:r>
    </w:p>
    <w:p>
      <w:pPr>
        <w:pStyle w:val="29"/>
        <w:ind w:firstLine="482"/>
        <w:rPr>
          <w:rFonts w:hint="eastAsia" w:ascii="Times New Roman"/>
          <w:snapToGrid w:val="0"/>
          <w:sz w:val="24"/>
          <w:szCs w:val="24"/>
        </w:rPr>
      </w:pPr>
      <w:r>
        <w:rPr>
          <w:rFonts w:hint="eastAsia" w:ascii="Times New Roman"/>
          <w:snapToGrid w:val="0"/>
          <w:sz w:val="24"/>
          <w:szCs w:val="24"/>
        </w:rPr>
        <w:t>GB 12694</w:t>
      </w:r>
      <w:r>
        <w:rPr>
          <w:rFonts w:hint="eastAsia" w:ascii="Times New Roman"/>
          <w:snapToGrid w:val="0"/>
          <w:sz w:val="24"/>
          <w:szCs w:val="24"/>
          <w:lang w:val="en-US" w:eastAsia="zh-CN"/>
        </w:rPr>
        <w:t xml:space="preserve"> </w:t>
      </w:r>
      <w:r>
        <w:rPr>
          <w:rFonts w:hint="eastAsia" w:ascii="Times New Roman"/>
          <w:snapToGrid w:val="0"/>
          <w:sz w:val="24"/>
          <w:szCs w:val="24"/>
        </w:rPr>
        <w:t xml:space="preserve"> 食品安全国家标准 </w:t>
      </w:r>
      <w:r>
        <w:rPr>
          <w:rFonts w:hint="eastAsia" w:ascii="Times New Roman"/>
          <w:snapToGrid w:val="0"/>
          <w:sz w:val="24"/>
          <w:szCs w:val="24"/>
          <w:lang w:val="en-US" w:eastAsia="zh-CN"/>
        </w:rPr>
        <w:t xml:space="preserve"> </w:t>
      </w:r>
      <w:r>
        <w:rPr>
          <w:rFonts w:hint="eastAsia" w:ascii="Times New Roman"/>
          <w:snapToGrid w:val="0"/>
          <w:sz w:val="24"/>
          <w:szCs w:val="24"/>
        </w:rPr>
        <w:t>畜禽屠宰加工卫生规范</w:t>
      </w:r>
    </w:p>
    <w:p>
      <w:pPr>
        <w:pStyle w:val="29"/>
        <w:ind w:firstLine="482"/>
        <w:rPr>
          <w:rFonts w:hint="eastAsia" w:ascii="Times New Roman"/>
          <w:snapToGrid w:val="0"/>
          <w:sz w:val="24"/>
          <w:szCs w:val="24"/>
        </w:rPr>
      </w:pPr>
      <w:r>
        <w:rPr>
          <w:rFonts w:hint="eastAsia" w:ascii="Times New Roman"/>
          <w:snapToGrid w:val="0"/>
          <w:sz w:val="24"/>
          <w:szCs w:val="24"/>
        </w:rPr>
        <w:t xml:space="preserve">GB/T 17238 </w:t>
      </w:r>
      <w:r>
        <w:rPr>
          <w:rFonts w:hint="eastAsia" w:ascii="Times New Roman"/>
          <w:snapToGrid w:val="0"/>
          <w:sz w:val="24"/>
          <w:szCs w:val="24"/>
          <w:lang w:val="en-US" w:eastAsia="zh-CN"/>
        </w:rPr>
        <w:t xml:space="preserve"> </w:t>
      </w:r>
      <w:r>
        <w:rPr>
          <w:rFonts w:hint="eastAsia" w:ascii="Times New Roman"/>
          <w:snapToGrid w:val="0"/>
          <w:sz w:val="24"/>
          <w:szCs w:val="24"/>
        </w:rPr>
        <w:t>鲜、冻分割牛肉</w:t>
      </w:r>
    </w:p>
    <w:p>
      <w:pPr>
        <w:pStyle w:val="29"/>
        <w:ind w:firstLine="482"/>
        <w:rPr>
          <w:rFonts w:hint="eastAsia" w:ascii="Times New Roman"/>
          <w:snapToGrid w:val="0"/>
          <w:sz w:val="24"/>
          <w:szCs w:val="24"/>
        </w:rPr>
      </w:pPr>
      <w:r>
        <w:rPr>
          <w:rFonts w:hint="eastAsia" w:ascii="Times New Roman"/>
          <w:snapToGrid w:val="0"/>
          <w:sz w:val="24"/>
          <w:szCs w:val="24"/>
        </w:rPr>
        <w:t xml:space="preserve">GB 18393 </w:t>
      </w:r>
      <w:r>
        <w:rPr>
          <w:rFonts w:hint="eastAsia" w:ascii="Times New Roman"/>
          <w:snapToGrid w:val="0"/>
          <w:sz w:val="24"/>
          <w:szCs w:val="24"/>
          <w:lang w:val="en-US" w:eastAsia="zh-CN"/>
        </w:rPr>
        <w:t xml:space="preserve"> </w:t>
      </w:r>
      <w:r>
        <w:rPr>
          <w:rFonts w:hint="eastAsia" w:ascii="Times New Roman"/>
          <w:snapToGrid w:val="0"/>
          <w:sz w:val="24"/>
          <w:szCs w:val="24"/>
        </w:rPr>
        <w:t>牛羊屠宰产品品质检验规程</w:t>
      </w:r>
    </w:p>
    <w:p>
      <w:pPr>
        <w:pStyle w:val="29"/>
        <w:ind w:firstLine="482"/>
        <w:rPr>
          <w:rFonts w:hint="eastAsia" w:ascii="Times New Roman"/>
          <w:snapToGrid w:val="0"/>
          <w:sz w:val="24"/>
          <w:szCs w:val="24"/>
        </w:rPr>
      </w:pPr>
      <w:r>
        <w:rPr>
          <w:rFonts w:hint="eastAsia" w:ascii="Times New Roman"/>
          <w:snapToGrid w:val="0"/>
          <w:sz w:val="24"/>
          <w:szCs w:val="24"/>
        </w:rPr>
        <w:t xml:space="preserve">GB/T 19477 </w:t>
      </w:r>
      <w:r>
        <w:rPr>
          <w:rFonts w:hint="eastAsia" w:ascii="Times New Roman"/>
          <w:snapToGrid w:val="0"/>
          <w:sz w:val="24"/>
          <w:szCs w:val="24"/>
          <w:lang w:val="en-US" w:eastAsia="zh-CN"/>
        </w:rPr>
        <w:t xml:space="preserve"> </w:t>
      </w:r>
      <w:r>
        <w:rPr>
          <w:rFonts w:hint="eastAsia" w:ascii="Times New Roman"/>
          <w:snapToGrid w:val="0"/>
          <w:sz w:val="24"/>
          <w:szCs w:val="24"/>
        </w:rPr>
        <w:t xml:space="preserve">畜禽屠宰操作规程 </w:t>
      </w:r>
      <w:r>
        <w:rPr>
          <w:rFonts w:hint="eastAsia" w:ascii="Times New Roman"/>
          <w:snapToGrid w:val="0"/>
          <w:sz w:val="24"/>
          <w:szCs w:val="24"/>
          <w:lang w:val="en-US" w:eastAsia="zh-CN"/>
        </w:rPr>
        <w:t xml:space="preserve"> </w:t>
      </w:r>
      <w:r>
        <w:rPr>
          <w:rFonts w:hint="eastAsia" w:ascii="Times New Roman"/>
          <w:snapToGrid w:val="0"/>
          <w:sz w:val="24"/>
          <w:szCs w:val="24"/>
        </w:rPr>
        <w:t>牛</w:t>
      </w:r>
    </w:p>
    <w:p>
      <w:pPr>
        <w:pStyle w:val="29"/>
        <w:ind w:firstLine="482"/>
        <w:rPr>
          <w:rFonts w:hint="eastAsia" w:ascii="Times New Roman"/>
          <w:snapToGrid w:val="0"/>
          <w:sz w:val="24"/>
          <w:szCs w:val="24"/>
        </w:rPr>
      </w:pPr>
      <w:r>
        <w:rPr>
          <w:rFonts w:hint="eastAsia" w:ascii="Times New Roman"/>
          <w:snapToGrid w:val="0"/>
          <w:sz w:val="24"/>
          <w:szCs w:val="24"/>
        </w:rPr>
        <w:t xml:space="preserve">SN/T 3774 </w:t>
      </w:r>
      <w:r>
        <w:rPr>
          <w:rFonts w:hint="eastAsia" w:ascii="Times New Roman"/>
          <w:snapToGrid w:val="0"/>
          <w:sz w:val="24"/>
          <w:szCs w:val="24"/>
          <w:lang w:val="en-US" w:eastAsia="zh-CN"/>
        </w:rPr>
        <w:t xml:space="preserve"> </w:t>
      </w:r>
      <w:r>
        <w:rPr>
          <w:rFonts w:hint="eastAsia" w:ascii="Times New Roman"/>
          <w:snapToGrid w:val="0"/>
          <w:sz w:val="24"/>
          <w:szCs w:val="24"/>
        </w:rPr>
        <w:t>牛的饲养、运输、屠宰动物福利规范</w:t>
      </w:r>
    </w:p>
    <w:p>
      <w:pPr>
        <w:pStyle w:val="29"/>
        <w:ind w:firstLine="482"/>
        <w:rPr>
          <w:rFonts w:hint="eastAsia" w:ascii="Times New Roman"/>
          <w:snapToGrid w:val="0"/>
          <w:sz w:val="24"/>
          <w:szCs w:val="24"/>
        </w:rPr>
      </w:pPr>
      <w:r>
        <w:rPr>
          <w:rFonts w:hint="eastAsia" w:ascii="Times New Roman"/>
          <w:snapToGrid w:val="0"/>
          <w:sz w:val="24"/>
          <w:szCs w:val="24"/>
        </w:rPr>
        <w:t>T/CMATB 3012</w:t>
      </w:r>
      <w:r>
        <w:rPr>
          <w:rFonts w:hint="eastAsia" w:ascii="Times New Roman"/>
          <w:snapToGrid w:val="0"/>
          <w:sz w:val="24"/>
          <w:szCs w:val="24"/>
          <w:lang w:val="en-US" w:eastAsia="zh-CN"/>
        </w:rPr>
        <w:t xml:space="preserve"> </w:t>
      </w:r>
      <w:r>
        <w:rPr>
          <w:rFonts w:hint="eastAsia" w:ascii="Times New Roman"/>
          <w:snapToGrid w:val="0"/>
          <w:sz w:val="24"/>
          <w:szCs w:val="24"/>
        </w:rPr>
        <w:t xml:space="preserve"> 通辽牛肉</w:t>
      </w:r>
    </w:p>
    <w:p>
      <w:pPr>
        <w:pStyle w:val="29"/>
        <w:ind w:firstLine="482"/>
        <w:rPr>
          <w:b/>
          <w:bCs/>
          <w:snapToGrid w:val="0"/>
        </w:rPr>
      </w:pPr>
      <w:r>
        <w:rPr>
          <w:rFonts w:hint="eastAsia" w:cs="宋体" w:asciiTheme="minorEastAsia" w:hAnsiTheme="minorEastAsia" w:eastAsiaTheme="minorEastAsia"/>
          <w:b/>
          <w:sz w:val="24"/>
          <w:lang w:bidi="zh-TW"/>
        </w:rPr>
        <w:t>制定依据：</w:t>
      </w:r>
      <w:bookmarkEnd w:id="17"/>
    </w:p>
    <w:p>
      <w:pPr>
        <w:ind w:firstLine="480"/>
        <w:jc w:val="left"/>
        <w:rPr>
          <w:rFonts w:hint="eastAsia"/>
        </w:rPr>
      </w:pPr>
      <w:r>
        <w:rPr>
          <w:rFonts w:hint="eastAsia"/>
          <w:snapToGrid w:val="0"/>
          <w:sz w:val="24"/>
          <w:szCs w:val="24"/>
        </w:rPr>
        <w:t>本部分列出了标准正文中引用的相关标准和文件。主要包括国家、行业的通用标准和一些基础性标准。</w:t>
      </w:r>
      <w:r>
        <w:rPr>
          <w:rFonts w:hint="eastAsia" w:ascii="宋体" w:hAnsi="宋体" w:eastAsia="宋体"/>
          <w:color w:val="000000"/>
          <w:sz w:val="24"/>
          <w:szCs w:val="24"/>
          <w:lang w:bidi="ar"/>
        </w:rPr>
        <w:t>这些引用文件对于本文件是不可或缺的，在相关内容中都有引用。</w:t>
      </w:r>
    </w:p>
    <w:p>
      <w:pPr>
        <w:ind w:firstLine="482"/>
        <w:jc w:val="left"/>
        <w:rPr>
          <w:rFonts w:ascii="Times New Roman" w:hAnsi="Times New Roman" w:eastAsia="宋体" w:cs="Times New Roman"/>
          <w:b/>
          <w:bCs/>
          <w:snapToGrid w:val="0"/>
          <w:sz w:val="24"/>
          <w:szCs w:val="24"/>
          <w:lang w:bidi="ar-SA"/>
        </w:rPr>
      </w:pPr>
      <w:r>
        <w:rPr>
          <w:rFonts w:hint="eastAsia" w:ascii="Times New Roman" w:eastAsia="宋体"/>
          <w:b/>
          <w:bCs/>
          <w:snapToGrid w:val="0"/>
          <w:sz w:val="24"/>
          <w:szCs w:val="24"/>
        </w:rPr>
        <w:t xml:space="preserve">3 </w:t>
      </w:r>
      <w:r>
        <w:rPr>
          <w:rFonts w:hint="eastAsia" w:ascii="Times New Roman" w:hAnsi="Times New Roman" w:eastAsia="宋体" w:cs="Times New Roman"/>
          <w:b/>
          <w:bCs/>
          <w:snapToGrid w:val="0"/>
          <w:sz w:val="24"/>
          <w:szCs w:val="24"/>
          <w:lang w:bidi="ar-SA"/>
        </w:rPr>
        <w:t>术语和定义</w:t>
      </w:r>
    </w:p>
    <w:bookmarkEnd w:id="18"/>
    <w:bookmarkEnd w:id="19"/>
    <w:bookmarkEnd w:id="20"/>
    <w:bookmarkEnd w:id="21"/>
    <w:bookmarkEnd w:id="22"/>
    <w:p>
      <w:pPr>
        <w:pStyle w:val="9"/>
        <w:spacing w:beforeAutospacing="0" w:afterAutospacing="0"/>
        <w:ind w:firstLine="482"/>
        <w:rPr>
          <w:rFonts w:hint="default" w:ascii="Times New Roman" w:hAnsi="Times New Roman" w:eastAsia="宋体" w:cs="Times New Roman"/>
          <w:snapToGrid w:val="0"/>
          <w:szCs w:val="24"/>
          <w:lang w:bidi="ar"/>
        </w:rPr>
      </w:pPr>
      <w:bookmarkStart w:id="23" w:name="OLE_LINK97"/>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T/CMATB 3012</w:t>
      </w:r>
      <w:r>
        <w:rPr>
          <w:rFonts w:hint="eastAsia" w:ascii="Times New Roman" w:hAnsi="Times New Roman" w:eastAsia="宋体" w:cs="Times New Roman"/>
          <w:snapToGrid w:val="0"/>
          <w:szCs w:val="24"/>
          <w:lang w:val="en-US" w:eastAsia="zh-CN" w:bidi="ar"/>
        </w:rPr>
        <w:t>规定的以及</w:t>
      </w:r>
      <w:r>
        <w:rPr>
          <w:rFonts w:ascii="Times New Roman" w:hAnsi="Times New Roman" w:eastAsia="宋体" w:cs="Times New Roman"/>
          <w:snapToGrid w:val="0"/>
          <w:szCs w:val="24"/>
          <w:lang w:bidi="ar"/>
        </w:rPr>
        <w:t>下列术语和定义适用于本文件。</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3.</w:t>
      </w:r>
      <w:r>
        <w:rPr>
          <w:rFonts w:hint="eastAsia" w:ascii="Times New Roman" w:hAnsi="Times New Roman" w:eastAsia="宋体" w:cs="Times New Roman"/>
          <w:snapToGrid w:val="0"/>
          <w:szCs w:val="24"/>
          <w:lang w:val="en-US" w:eastAsia="zh-CN" w:bidi="ar"/>
        </w:rPr>
        <w:t>1</w:t>
      </w:r>
      <w:r>
        <w:rPr>
          <w:rFonts w:ascii="Times New Roman" w:hAnsi="Times New Roman" w:eastAsia="宋体" w:cs="Times New Roman"/>
          <w:snapToGrid w:val="0"/>
          <w:szCs w:val="24"/>
          <w:lang w:bidi="ar"/>
        </w:rPr>
        <w:t>　通辽肉牛胴体 Tongliao beef cattle carcass</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检验检疫合格的通辽肉牛经宰杀放血后，除去头、蹄、皮、尾、内脏、肾周脂肪及生殖器（母牛去除乳房）后的躯体部分（牛半胴体结构图参见附录A）。</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w:t>
      </w:r>
      <w:r>
        <w:rPr>
          <w:rFonts w:hint="default" w:ascii="Times New Roman" w:hAnsi="Times New Roman" w:eastAsia="宋体" w:cs="Times New Roman"/>
          <w:snapToGrid w:val="0"/>
          <w:szCs w:val="24"/>
          <w:lang w:bidi="ar"/>
        </w:rPr>
        <w:t>GB/T 17238-2023</w:t>
      </w:r>
      <w:r>
        <w:rPr>
          <w:rFonts w:ascii="Times New Roman" w:hAnsi="Times New Roman" w:eastAsia="宋体" w:cs="Times New Roman"/>
          <w:snapToGrid w:val="0"/>
          <w:szCs w:val="24"/>
          <w:lang w:bidi="ar"/>
        </w:rPr>
        <w:t>《鲜、冻分割牛肉》。</w:t>
      </w:r>
    </w:p>
    <w:p>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标准文本：</w:t>
      </w:r>
    </w:p>
    <w:p>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4　宰前要求</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4.1　运输</w:t>
      </w:r>
    </w:p>
    <w:p>
      <w:pPr>
        <w:pStyle w:val="9"/>
        <w:spacing w:beforeAutospacing="0" w:afterAutospacing="0"/>
        <w:ind w:firstLine="482"/>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牛只运输应符合SN/T 3774</w:t>
      </w:r>
      <w:r>
        <w:rPr>
          <w:rFonts w:hint="default" w:ascii="Times New Roman" w:hAnsi="Times New Roman" w:eastAsia="宋体" w:cs="Times New Roman"/>
          <w:snapToGrid w:val="0"/>
          <w:szCs w:val="24"/>
          <w:lang w:val="en-US" w:eastAsia="zh-CN" w:bidi="ar"/>
        </w:rPr>
        <w:t>的相关</w:t>
      </w:r>
      <w:r>
        <w:rPr>
          <w:rFonts w:hint="default" w:ascii="Times New Roman" w:hAnsi="Times New Roman" w:eastAsia="宋体" w:cs="Times New Roman"/>
          <w:snapToGrid w:val="0"/>
          <w:szCs w:val="24"/>
          <w:lang w:bidi="ar"/>
        </w:rPr>
        <w:t>规定。</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运输标准文件已经成熟运行，直接引用SN/T 3774中5。</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　宰前管理</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4.2.1　待宰栏设有遮阳、防雨的屋面，夏季通风良好，遇到高温天气采取必要的降温措施，冬季应设有防寒设施。</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4.2.2　从待宰栏到屠宰车间设有赶畜通道，赶畜通道两侧有不低于1.2 m的矮墙或金属栏杆。</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4.2.3　待宰牛应健康良好，并附有产地动物卫生监督机构出具的《动物检疫合格证明》；应对牛进行瘦肉精尿检，发现瘦肉精超标拒收并及时上报处理；应对所有牛只执行布病检测，确保阴性后方可屠宰。</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4.2.4　牛进入待宰间后，宰前禁水不少于6h，宰前禁食不少于24h。</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4.2.5　待宰静养遵循不混群、不分离的原则，期间牛只用绳栓系；待宰牛只的静养密度应≥2.6 m²/头。</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4.2.6　定时巡圈检查，发现异常牛只做好标记，进行隔离，疑似重大传染病的牛只应立即通知官方兽医。</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4.2.7　待宰静养过程中死亡的牛只应进行无害化处理。</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牛》、参考T/SDYZXCP 006.501-2023《优质牛肉生产技术规程 第5部分：屠宰 宰前管理》，结合通辽肉牛待宰的实际情况进行制定。屠宰中发现宰前3 h停止喂水，胃中水仍较多，因此改为宰前6 h停止喂水。</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4.3　送宰</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4.3.1　</w:t>
      </w:r>
      <w:r>
        <w:rPr>
          <w:rFonts w:hint="eastAsia" w:ascii="Times New Roman" w:hAnsi="Times New Roman" w:eastAsia="宋体" w:cs="Times New Roman"/>
          <w:snapToGrid w:val="0"/>
          <w:szCs w:val="24"/>
          <w:lang w:bidi="ar"/>
        </w:rPr>
        <w:t>屠宰前应向</w:t>
      </w:r>
      <w:r>
        <w:rPr>
          <w:rFonts w:hint="eastAsia" w:ascii="Times New Roman" w:hAnsi="Times New Roman" w:eastAsia="宋体" w:cs="Times New Roman"/>
          <w:snapToGrid w:val="0"/>
          <w:szCs w:val="24"/>
          <w:lang w:val="en-US" w:eastAsia="zh-CN" w:bidi="ar"/>
        </w:rPr>
        <w:t>所在地动物卫生监督机构</w:t>
      </w:r>
      <w:r>
        <w:rPr>
          <w:rFonts w:hint="eastAsia" w:ascii="Times New Roman" w:hAnsi="Times New Roman" w:eastAsia="宋体" w:cs="Times New Roman"/>
          <w:snapToGrid w:val="0"/>
          <w:szCs w:val="24"/>
          <w:lang w:bidi="ar"/>
        </w:rPr>
        <w:t>申报检疫，按照《牛屠宰</w:t>
      </w:r>
      <w:r>
        <w:rPr>
          <w:rFonts w:hint="default" w:ascii="Times New Roman" w:hAnsi="Times New Roman" w:eastAsia="宋体" w:cs="Times New Roman"/>
          <w:snapToGrid w:val="0"/>
          <w:szCs w:val="24"/>
          <w:lang w:bidi="ar"/>
        </w:rPr>
        <w:t>检疫规程》和GB 18393等进行</w:t>
      </w:r>
      <w:r>
        <w:rPr>
          <w:rFonts w:hint="eastAsia" w:ascii="Times New Roman" w:hAnsi="Times New Roman" w:eastAsia="宋体" w:cs="Times New Roman"/>
          <w:snapToGrid w:val="0"/>
          <w:szCs w:val="24"/>
          <w:lang w:bidi="ar"/>
        </w:rPr>
        <w:t>检疫和检验，合格后方可屠宰。</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4.3.2　屠宰前2 h宜使用温水清洗牛体，牛体表应无污物。</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4.3.3　按照SN/T 3774的要求选择赶牛人员，使牛进入待宰车间；用塑料棒按顺序驱赶牛只，或由引领牛将待宰牛只引入上牛通道，不应采用硬器击打。</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4.3.4　送按照先入栏的牛只先行屠宰的原则分栏送宰，应对牛编号，并按顺序赶送。</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4.3.5　赶牛道的颜色、弯曲程度应均一，保持光线明亮和围栏密闭。</w:t>
      </w:r>
    </w:p>
    <w:p>
      <w:pPr>
        <w:pStyle w:val="9"/>
        <w:spacing w:beforeAutospacing="0" w:afterAutospacing="0"/>
        <w:ind w:firstLine="482"/>
        <w:rPr>
          <w:rFonts w:hint="default" w:ascii="Times New Roman" w:hAnsi="Times New Roman" w:eastAsia="宋体" w:cs="Times New Roman"/>
          <w:b/>
          <w:bCs/>
          <w:snapToGrid w:val="0"/>
          <w:szCs w:val="24"/>
          <w:lang w:bidi="ar"/>
        </w:rPr>
      </w:pPr>
      <w:r>
        <w:rPr>
          <w:rFonts w:ascii="Times New Roman" w:hAnsi="Times New Roman" w:eastAsia="宋体" w:cs="Times New Roman"/>
          <w:b/>
          <w:bCs/>
          <w:snapToGrid w:val="0"/>
          <w:szCs w:val="24"/>
          <w:lang w:bidi="ar"/>
        </w:rPr>
        <w:t>制定依据：</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牛》、SN/T 3774《牛的饲养、运输、屠宰动物福利规范》，结合通辽肉牛送宰的实际情况进行制定。</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4.4　病死牛无害化处理</w:t>
      </w:r>
    </w:p>
    <w:p>
      <w:pPr>
        <w:pStyle w:val="9"/>
        <w:spacing w:beforeAutospacing="0" w:afterAutospacing="0"/>
        <w:ind w:firstLine="482"/>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病死牛无害化处理</w:t>
      </w:r>
      <w:r>
        <w:rPr>
          <w:rFonts w:hint="eastAsia" w:ascii="Times New Roman" w:hAnsi="Times New Roman" w:eastAsia="宋体" w:cs="Times New Roman"/>
          <w:snapToGrid w:val="0"/>
          <w:szCs w:val="24"/>
          <w:lang w:val="en-US" w:eastAsia="zh-CN" w:bidi="ar"/>
        </w:rPr>
        <w:t>要求见</w:t>
      </w:r>
      <w:r>
        <w:rPr>
          <w:rFonts w:hint="eastAsia" w:ascii="Times New Roman" w:hAnsi="Times New Roman" w:eastAsia="宋体" w:cs="Times New Roman"/>
          <w:snapToGrid w:val="0"/>
          <w:szCs w:val="24"/>
          <w:lang w:bidi="ar"/>
        </w:rPr>
        <w:t>《病死及病害动物无害化处理技术规范》。</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《病死及病害动物无害化处理技术规范》文件运行成熟直接引用。</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5屠宰操作程序及要求</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　保定和致昏</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5.1.1　保定</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5.1.1.1　</w:t>
      </w:r>
      <w:r>
        <w:rPr>
          <w:rFonts w:hint="eastAsia" w:ascii="Times New Roman" w:hAnsi="Times New Roman" w:eastAsia="宋体" w:cs="Times New Roman"/>
          <w:snapToGrid w:val="0"/>
          <w:szCs w:val="24"/>
          <w:lang w:bidi="ar"/>
        </w:rPr>
        <w:t>应对牛只进行适当保定，</w:t>
      </w:r>
      <w:r>
        <w:rPr>
          <w:rFonts w:hint="eastAsia" w:ascii="Times New Roman" w:hAnsi="Times New Roman" w:eastAsia="宋体" w:cs="Times New Roman"/>
          <w:snapToGrid w:val="0"/>
          <w:szCs w:val="24"/>
          <w:lang w:val="en-US" w:eastAsia="zh-CN" w:bidi="ar"/>
        </w:rPr>
        <w:t>应避免</w:t>
      </w:r>
      <w:r>
        <w:rPr>
          <w:rFonts w:hint="eastAsia" w:ascii="Times New Roman" w:hAnsi="Times New Roman" w:eastAsia="宋体" w:cs="Times New Roman"/>
          <w:snapToGrid w:val="0"/>
          <w:szCs w:val="24"/>
          <w:lang w:bidi="ar"/>
        </w:rPr>
        <w:t>不必要的痛苦、惊吓。</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5.1.1.2　保定应满足以下要求：</w:t>
      </w:r>
    </w:p>
    <w:p>
      <w:pPr>
        <w:pStyle w:val="9"/>
        <w:spacing w:beforeAutospacing="0" w:afterAutospacing="0"/>
        <w:ind w:firstLine="480"/>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5.1.1.2　不应捆绑牛四肢、不应悬吊牛只。</w:t>
      </w:r>
    </w:p>
    <w:p>
      <w:pPr>
        <w:pStyle w:val="9"/>
        <w:spacing w:beforeAutospacing="0" w:afterAutospacing="0"/>
        <w:ind w:firstLine="480"/>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5.1.1.</w:t>
      </w:r>
      <w:r>
        <w:rPr>
          <w:rFonts w:hint="eastAsia" w:ascii="Times New Roman" w:hAnsi="Times New Roman" w:eastAsia="宋体" w:cs="Times New Roman"/>
          <w:snapToGrid w:val="0"/>
          <w:szCs w:val="24"/>
          <w:lang w:val="en-US" w:eastAsia="zh-CN" w:bidi="ar"/>
        </w:rPr>
        <w:t>3</w:t>
      </w:r>
      <w:r>
        <w:rPr>
          <w:rFonts w:hint="eastAsia" w:ascii="Times New Roman" w:hAnsi="Times New Roman" w:eastAsia="宋体" w:cs="Times New Roman"/>
          <w:snapToGrid w:val="0"/>
          <w:szCs w:val="24"/>
          <w:lang w:bidi="ar"/>
        </w:rPr>
        <w:t>　用适当的方法固定牛只的头部，以便对牛进行击晕。</w:t>
      </w:r>
    </w:p>
    <w:p>
      <w:pPr>
        <w:pStyle w:val="9"/>
        <w:spacing w:beforeAutospacing="0" w:afterAutospacing="0"/>
        <w:ind w:firstLine="480"/>
        <w:rPr>
          <w:rFonts w:hint="eastAsia" w:ascii="Times New Roman" w:hAnsi="Times New Roman" w:eastAsia="宋体" w:cs="Times New Roman"/>
          <w:b/>
          <w:bCs/>
          <w:snapToGrid w:val="0"/>
          <w:szCs w:val="24"/>
          <w:lang w:bidi="ar"/>
        </w:rPr>
      </w:pPr>
      <w:r>
        <w:rPr>
          <w:rFonts w:hint="eastAsia" w:ascii="Times New Roman" w:hAnsi="Times New Roman" w:eastAsia="宋体" w:cs="Times New Roman"/>
          <w:b/>
          <w:bCs/>
          <w:snapToGrid w:val="0"/>
          <w:szCs w:val="24"/>
          <w:lang w:bidi="ar"/>
        </w:rPr>
        <w:t>制定依据：</w:t>
      </w:r>
    </w:p>
    <w:p>
      <w:pPr>
        <w:pStyle w:val="9"/>
        <w:spacing w:beforeAutospacing="0" w:afterAutospacing="0"/>
        <w:ind w:firstLine="480"/>
        <w:rPr>
          <w:rFonts w:hint="eastAsia"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val="en-US" w:eastAsia="zh-CN" w:bidi="ar"/>
        </w:rPr>
        <w:t>参考</w:t>
      </w:r>
      <w:r>
        <w:rPr>
          <w:rFonts w:hint="eastAsia" w:ascii="Times New Roman" w:hAnsi="Times New Roman" w:eastAsia="宋体" w:cs="Times New Roman"/>
          <w:snapToGrid w:val="0"/>
          <w:szCs w:val="24"/>
          <w:lang w:bidi="ar"/>
        </w:rPr>
        <w:t>SN/T 3774《牛的饲养、运输、屠宰动物福利规范》，结合通辽肉牛</w:t>
      </w:r>
      <w:r>
        <w:rPr>
          <w:rFonts w:hint="eastAsia" w:ascii="Times New Roman" w:hAnsi="Times New Roman" w:eastAsia="宋体" w:cs="Times New Roman"/>
          <w:snapToGrid w:val="0"/>
          <w:szCs w:val="24"/>
          <w:lang w:val="en-US" w:eastAsia="zh-CN" w:bidi="ar"/>
        </w:rPr>
        <w:t>屠宰</w:t>
      </w:r>
      <w:r>
        <w:rPr>
          <w:rFonts w:hint="eastAsia" w:ascii="Times New Roman" w:hAnsi="Times New Roman" w:eastAsia="宋体" w:cs="Times New Roman"/>
          <w:snapToGrid w:val="0"/>
          <w:szCs w:val="24"/>
          <w:lang w:bidi="ar"/>
        </w:rPr>
        <w:t>的实际情况进行制定。</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5.1.2　致昏</w:t>
      </w:r>
    </w:p>
    <w:p>
      <w:pPr>
        <w:pStyle w:val="9"/>
        <w:spacing w:beforeAutospacing="0" w:afterAutospacing="0"/>
        <w:ind w:firstLine="482"/>
        <w:rPr>
          <w:rFonts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5.1.2.1　可选择致昏或不致昏。</w:t>
      </w:r>
    </w:p>
    <w:p>
      <w:pPr>
        <w:pStyle w:val="9"/>
        <w:spacing w:beforeAutospacing="0" w:afterAutospacing="0"/>
        <w:ind w:firstLine="482"/>
        <w:rPr>
          <w:rFonts w:hint="default"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5.1.2.2　</w:t>
      </w:r>
      <w:r>
        <w:rPr>
          <w:rFonts w:hint="eastAsia" w:ascii="Times New Roman" w:hAnsi="Times New Roman" w:eastAsia="宋体" w:cs="Times New Roman"/>
          <w:snapToGrid w:val="0"/>
          <w:szCs w:val="24"/>
          <w:lang w:val="en-US" w:eastAsia="zh-CN" w:bidi="ar"/>
        </w:rPr>
        <w:t>采用</w:t>
      </w:r>
      <w:r>
        <w:rPr>
          <w:rFonts w:hint="eastAsia" w:ascii="Times New Roman" w:hAnsi="Times New Roman" w:eastAsia="宋体" w:cs="Times New Roman"/>
          <w:snapToGrid w:val="0"/>
          <w:szCs w:val="24"/>
          <w:lang w:bidi="ar"/>
        </w:rPr>
        <w:t>击晕法</w:t>
      </w:r>
      <w:r>
        <w:rPr>
          <w:rFonts w:hint="eastAsia" w:ascii="Times New Roman" w:hAnsi="Times New Roman" w:eastAsia="宋体" w:cs="Times New Roman"/>
          <w:snapToGrid w:val="0"/>
          <w:szCs w:val="24"/>
          <w:lang w:val="en-US" w:eastAsia="zh-CN" w:bidi="ar"/>
        </w:rPr>
        <w:t>时，</w:t>
      </w:r>
      <w:r>
        <w:rPr>
          <w:rFonts w:hint="eastAsia" w:ascii="Times New Roman" w:hAnsi="Times New Roman" w:eastAsia="宋体" w:cs="Times New Roman"/>
          <w:snapToGrid w:val="0"/>
          <w:szCs w:val="24"/>
          <w:lang w:bidi="ar"/>
        </w:rPr>
        <w:t>用击晕枪对</w:t>
      </w:r>
      <w:r>
        <w:rPr>
          <w:rFonts w:hint="default" w:ascii="Times New Roman" w:hAnsi="Times New Roman" w:eastAsia="宋体" w:cs="Times New Roman"/>
          <w:snapToGrid w:val="0"/>
          <w:szCs w:val="24"/>
          <w:lang w:bidi="ar"/>
        </w:rPr>
        <w:t>准牛的两角与两眼对角线交叉点，快速启动，使牛昏迷。</w:t>
      </w:r>
    </w:p>
    <w:p>
      <w:pPr>
        <w:pStyle w:val="9"/>
        <w:spacing w:beforeAutospacing="0" w:afterAutospacing="0"/>
        <w:ind w:firstLine="482"/>
        <w:rPr>
          <w:rFonts w:hint="default"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5.1.2.</w:t>
      </w:r>
      <w:r>
        <w:rPr>
          <w:rFonts w:hint="eastAsia" w:ascii="Times New Roman" w:hAnsi="Times New Roman" w:eastAsia="宋体" w:cs="Times New Roman"/>
          <w:snapToGrid w:val="0"/>
          <w:szCs w:val="24"/>
          <w:lang w:val="en-US" w:eastAsia="zh-CN" w:bidi="ar"/>
        </w:rPr>
        <w:t>3</w:t>
      </w:r>
      <w:r>
        <w:rPr>
          <w:rFonts w:hint="eastAsia" w:ascii="Times New Roman" w:hAnsi="Times New Roman" w:eastAsia="宋体" w:cs="Times New Roman"/>
          <w:snapToGrid w:val="0"/>
          <w:szCs w:val="24"/>
          <w:lang w:bidi="ar"/>
        </w:rPr>
        <w:t>　</w:t>
      </w:r>
      <w:r>
        <w:rPr>
          <w:rFonts w:hint="default" w:ascii="Times New Roman" w:hAnsi="Times New Roman" w:eastAsia="宋体" w:cs="Times New Roman"/>
          <w:snapToGrid w:val="0"/>
          <w:szCs w:val="24"/>
          <w:lang w:val="en-US" w:eastAsia="zh-CN" w:bidi="ar"/>
        </w:rPr>
        <w:t>采用</w:t>
      </w:r>
      <w:r>
        <w:rPr>
          <w:rFonts w:hint="default" w:ascii="Times New Roman" w:hAnsi="Times New Roman" w:eastAsia="宋体" w:cs="Times New Roman"/>
          <w:snapToGrid w:val="0"/>
          <w:szCs w:val="24"/>
          <w:lang w:bidi="ar"/>
        </w:rPr>
        <w:t>麻电法</w:t>
      </w:r>
      <w:r>
        <w:rPr>
          <w:rFonts w:hint="default" w:ascii="Times New Roman" w:hAnsi="Times New Roman" w:eastAsia="宋体" w:cs="Times New Roman"/>
          <w:snapToGrid w:val="0"/>
          <w:szCs w:val="24"/>
          <w:lang w:val="en-US" w:eastAsia="zh-CN" w:bidi="ar"/>
        </w:rPr>
        <w:t>时，</w:t>
      </w:r>
      <w:r>
        <w:rPr>
          <w:rFonts w:hint="default" w:ascii="Times New Roman" w:hAnsi="Times New Roman" w:eastAsia="宋体" w:cs="Times New Roman"/>
          <w:snapToGrid w:val="0"/>
          <w:szCs w:val="24"/>
          <w:lang w:bidi="ar"/>
        </w:rPr>
        <w:t>用单杆式电麻器击牛体，使牛昏迷，参数宜为：电压不超过200 V，电流1 A～1.5 A，作用时间7 s～30 s。</w:t>
      </w:r>
    </w:p>
    <w:p>
      <w:pPr>
        <w:pStyle w:val="9"/>
        <w:spacing w:beforeAutospacing="0" w:afterAutospacing="0"/>
        <w:ind w:firstLine="482"/>
        <w:rPr>
          <w:rFonts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5.1.2.</w:t>
      </w:r>
      <w:r>
        <w:rPr>
          <w:rFonts w:hint="eastAsia" w:ascii="Times New Roman" w:hAnsi="Times New Roman" w:eastAsia="宋体" w:cs="Times New Roman"/>
          <w:snapToGrid w:val="0"/>
          <w:szCs w:val="24"/>
          <w:lang w:val="en-US" w:eastAsia="zh-CN" w:bidi="ar"/>
        </w:rPr>
        <w:t>4</w:t>
      </w:r>
      <w:r>
        <w:rPr>
          <w:rFonts w:hint="eastAsia" w:ascii="Times New Roman" w:hAnsi="Times New Roman" w:eastAsia="宋体" w:cs="Times New Roman"/>
          <w:snapToGrid w:val="0"/>
          <w:szCs w:val="24"/>
          <w:lang w:bidi="ar"/>
        </w:rPr>
        <w:t>　不应将牛致死或反复致昏，致昏后牛呈昏迷状态，心脏保持跳动。</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牛》中“5.1 致昏”，结合通辽屠宰企业致昏实际情况制定，一些企业屠宰前不对牛进行致昏。</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5.2　宰杀放血</w:t>
      </w:r>
    </w:p>
    <w:p>
      <w:pPr>
        <w:pStyle w:val="9"/>
        <w:spacing w:beforeAutospacing="0" w:afterAutospacing="0"/>
        <w:ind w:firstLine="482"/>
        <w:rPr>
          <w:rFonts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5.2.1　采用</w:t>
      </w:r>
      <w:r>
        <w:rPr>
          <w:rFonts w:hint="eastAsia" w:ascii="Times New Roman" w:hAnsi="Times New Roman" w:eastAsia="宋体" w:cs="Times New Roman"/>
          <w:snapToGrid w:val="0"/>
          <w:szCs w:val="24"/>
          <w:lang w:val="en-US" w:eastAsia="zh-CN" w:bidi="ar"/>
        </w:rPr>
        <w:t>三管齐断放血的宰杀方式时</w:t>
      </w:r>
      <w:r>
        <w:rPr>
          <w:rFonts w:hint="eastAsia" w:ascii="Times New Roman" w:hAnsi="Times New Roman" w:eastAsia="宋体" w:cs="Times New Roman"/>
          <w:snapToGrid w:val="0"/>
          <w:szCs w:val="24"/>
          <w:lang w:bidi="ar"/>
        </w:rPr>
        <w:t>，</w:t>
      </w:r>
      <w:r>
        <w:rPr>
          <w:rFonts w:hint="eastAsia" w:ascii="Times New Roman" w:hAnsi="Times New Roman" w:eastAsia="宋体" w:cs="Times New Roman"/>
          <w:snapToGrid w:val="0"/>
          <w:szCs w:val="24"/>
          <w:lang w:val="en-US" w:eastAsia="zh-CN" w:bidi="ar"/>
        </w:rPr>
        <w:t>应</w:t>
      </w:r>
      <w:r>
        <w:rPr>
          <w:rFonts w:hint="eastAsia" w:ascii="Times New Roman" w:hAnsi="Times New Roman" w:eastAsia="宋体" w:cs="Times New Roman"/>
          <w:snapToGrid w:val="0"/>
          <w:szCs w:val="24"/>
          <w:lang w:bidi="ar"/>
        </w:rPr>
        <w:t>从牛喉部下刀，横向切断食管、气管和血管。</w:t>
      </w:r>
    </w:p>
    <w:p>
      <w:pPr>
        <w:pStyle w:val="9"/>
        <w:spacing w:beforeAutospacing="0" w:afterAutospacing="0"/>
        <w:ind w:firstLine="482"/>
        <w:rPr>
          <w:rFonts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5.2.2　从致昏到宰杀放血</w:t>
      </w:r>
      <w:r>
        <w:rPr>
          <w:rFonts w:hint="default" w:ascii="Times New Roman" w:hAnsi="Times New Roman" w:eastAsia="宋体" w:cs="Times New Roman"/>
          <w:snapToGrid w:val="0"/>
          <w:szCs w:val="24"/>
          <w:lang w:bidi="ar"/>
        </w:rPr>
        <w:t>时间应控制在1.5 min以内。</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牛》中“5.2 宰杀放血”，结合通辽屠宰企业宰杀放血环节实际情况制定，企业通常采用“断三管”屠宰方法。</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5.3　挂牛</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5.3.1　将牛的一只后小腿用扣脚链扣紧，开启提升机稳步提升，将牛悬挂至轨道上。</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5.3.2　挂牛要迅速，与放血之间的时间间隔不超过1.5 min。</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牛》中“5.5 挂牛”，以及通辽屠宰企业宰杀放血环节实际情况制定。</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5.4　电刺激</w:t>
      </w:r>
    </w:p>
    <w:p>
      <w:pPr>
        <w:pStyle w:val="9"/>
        <w:spacing w:beforeAutospacing="0" w:afterAutospacing="0"/>
        <w:ind w:firstLine="480"/>
        <w:rPr>
          <w:rFonts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eastAsia="zh-CN" w:bidi="ar"/>
        </w:rPr>
        <w:t>按照GB/T 19477要求执行</w:t>
      </w:r>
      <w:r>
        <w:rPr>
          <w:rFonts w:hint="default"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5.5　去头、前蹄、后蹄</w:t>
      </w:r>
    </w:p>
    <w:p>
      <w:pPr>
        <w:pStyle w:val="9"/>
        <w:spacing w:beforeAutospacing="0" w:afterAutospacing="0"/>
        <w:ind w:firstLine="480"/>
        <w:rPr>
          <w:rFonts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eastAsia="zh-CN" w:bidi="ar"/>
        </w:rPr>
        <w:t>按照GB/T 19477要求执行</w:t>
      </w:r>
      <w:r>
        <w:rPr>
          <w:rFonts w:hint="default"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5.6　结扎食管</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eastAsia="zh-CN" w:bidi="ar"/>
        </w:rPr>
        <w:t>按照GB/T 19477要求执行</w:t>
      </w:r>
      <w:r>
        <w:rPr>
          <w:rFonts w:hint="default"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5.7　剥皮</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剥后腿、胸腹、颈部、前腿皮，</w:t>
      </w:r>
      <w:r>
        <w:rPr>
          <w:rFonts w:hint="default" w:ascii="Times New Roman" w:hAnsi="Times New Roman" w:eastAsia="宋体" w:cs="Times New Roman"/>
          <w:snapToGrid w:val="0"/>
          <w:szCs w:val="24"/>
          <w:lang w:eastAsia="zh-CN" w:bidi="ar"/>
        </w:rPr>
        <w:t>按照GB/T 19477要求执行</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5.8　转挂</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eastAsia="zh-CN" w:bidi="ar"/>
        </w:rPr>
        <w:t>按照GB/T 19477要求执行</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5.9　结扎肛门</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eastAsia="zh-CN" w:bidi="ar"/>
        </w:rPr>
        <w:t>按照GB/T 19477要求执行</w:t>
      </w:r>
      <w:r>
        <w:rPr>
          <w:rFonts w:ascii="Times New Roman" w:hAnsi="Times New Roman" w:eastAsia="宋体" w:cs="Times New Roman"/>
          <w:snapToGrid w:val="0"/>
          <w:szCs w:val="24"/>
          <w:lang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引用GB/T 19477《畜禽屠宰操作规程 牛》，文件运行成熟，直接引用。</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5.10　扯皮</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5.10.1　当扯皮机的扯皮滚筒通过液压作用上升到牛的后腿位置时，将两后腿皮锁紧，毛皮面向外，开启扯皮机，以适当的速度将牛皮卷扯分离胴体，不应将肉带在皮上。</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5.10.2　扯皮的同时操作人员站在单柱气动升降台用刀具辅助割开皮与脂肪、皮与肉的粘连处，直至扯完牛头部皮。</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5.10.3　牛皮扯下后扯皮滚筒反转，通过牛皮自动解扣链将牛皮自动放入牛皮风送罐内。</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5.10.4　气动闸门关闭，往牛皮风送罐内充入压缩空气，将牛皮通过风送管道输送到牛皮暂存间。</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牛》中“5.13 扯皮”，同时按照通辽牛屠宰企业实际情况。</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5.11　开胸、去内脏</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eastAsia="zh-CN" w:bidi="ar"/>
        </w:rPr>
        <w:t>按照GB/T 19477要求执行</w:t>
      </w:r>
      <w:r>
        <w:rPr>
          <w:rFonts w:ascii="Times New Roman" w:hAnsi="Times New Roman" w:eastAsia="宋体" w:cs="Times New Roman"/>
          <w:snapToGrid w:val="0"/>
          <w:szCs w:val="24"/>
          <w:lang w:bidi="ar"/>
        </w:rPr>
        <w:t>，先开胸，取白脏后再取红脏。</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引用GB/T 19477《畜禽屠宰操作规程 牛》，文件运行成熟直接引用。</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5.12　劈半</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用锯(刀)从牛后腿中间的耻骨连接处从上到下匀速沿着牛脊柱中线将牛胴体锯(劈)成二分体。锯(劈)过程中应不断喷淋清水，不宜锯(劈)偏斜，锯(劈)断面应整齐，不破坏牛胴体。</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牛》中“5.20 劈半”。</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5.13　胴体修整</w:t>
      </w:r>
    </w:p>
    <w:p>
      <w:pPr>
        <w:pStyle w:val="9"/>
        <w:spacing w:beforeAutospacing="0" w:afterAutospacing="0"/>
        <w:ind w:firstLine="480"/>
        <w:rPr>
          <w:rFonts w:hint="default"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bidi="ar"/>
        </w:rPr>
        <w:t>修去胴体表面的淤血、残留甲状腺、肾上腺、病变淋巴结、</w:t>
      </w:r>
      <w:bookmarkStart w:id="43" w:name="_GoBack"/>
      <w:bookmarkEnd w:id="43"/>
      <w:r>
        <w:rPr>
          <w:rFonts w:hint="eastAsia" w:ascii="Times New Roman" w:hAnsi="Times New Roman" w:eastAsia="宋体" w:cs="Times New Roman"/>
          <w:snapToGrid w:val="0"/>
          <w:szCs w:val="24"/>
          <w:lang w:bidi="ar"/>
        </w:rPr>
        <w:t>污物和浮毛等，应保持肌膜和胴体的完整。</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牛》中“5.21 胴体修整”。</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5.14　计量</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用电子轨道称等称量器具称量牛胴体重量并进行记录。</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牛》中“5.22 计量与质量分级”。</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5.15　清洗</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使用低压热水由上而下对胴体内外进行冲洗，水温不应高于55℃，水压不应高于0.5 MPa。冲洗后胴体表面不应有浮毛、血污和肉末等污物。</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牛》中“5.23 清洗”，并对水温和水压进行规范。</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5.16　检验检疫</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5.16.1　同步检验按照GB 18393要求执行。</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5.16.2　同步检疫按照《牛屠宰检疫规程》要求执行。</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5.16.3　经检验合格的胴体或肉品应加盖统一的检验合格印章或标识，并签发检验合格证；印章染色液应对人无害、盖后不流散，附着牢固。</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5.16.4　经检验检疫不合格的肉品及副产品，应按GB 12694的要求和《病死及病害动物无害化处理技术规范》的规定执行。</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5.16.5　经判定为有条件可食肉、工业用肉、销毁肉等均应分别加盖识别印章，并分别在指定场所按有关规定处理。</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牛》中“5.18 检验检疫”，并对合格产品和不合格产品的处理方式进行规范。</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5.17　预冷和冻结</w:t>
      </w:r>
    </w:p>
    <w:p>
      <w:pPr>
        <w:pStyle w:val="9"/>
        <w:spacing w:beforeAutospacing="0" w:afterAutospacing="0"/>
        <w:ind w:firstLine="480"/>
        <w:rPr>
          <w:rFonts w:hint="default"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eastAsia="zh-CN" w:bidi="ar"/>
        </w:rPr>
        <w:t>按照GB/T 19477要求执行</w:t>
      </w:r>
      <w:r>
        <w:rPr>
          <w:rFonts w:ascii="Times New Roman" w:hAnsi="Times New Roman" w:eastAsia="宋体" w:cs="Times New Roman"/>
          <w:snapToGrid w:val="0"/>
          <w:szCs w:val="24"/>
          <w:lang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引用GB/T 19477《畜禽屠宰操作规程 牛》中“5.25 预冷”“5.27 冻结”，文件运行成熟直接引用。</w:t>
      </w:r>
    </w:p>
    <w:p>
      <w:pPr>
        <w:pStyle w:val="9"/>
        <w:spacing w:beforeAutospacing="0" w:afterAutospacing="0"/>
        <w:ind w:firstLine="482"/>
        <w:rPr>
          <w:rFonts w:hint="default" w:ascii="Times New Roman" w:hAnsi="Times New Roman" w:eastAsia="宋体" w:cs="Times New Roman"/>
          <w:snapToGrid w:val="0"/>
          <w:szCs w:val="24"/>
          <w:lang w:bidi="ar"/>
        </w:rPr>
      </w:pPr>
      <w:bookmarkStart w:id="24" w:name="_Toc23257389"/>
      <w:bookmarkStart w:id="25" w:name="_Toc23260660"/>
      <w:bookmarkStart w:id="26" w:name="_Toc23258294"/>
      <w:bookmarkStart w:id="27" w:name="_Toc23432746"/>
      <w:bookmarkStart w:id="28" w:name="_Toc23255883"/>
      <w:bookmarkStart w:id="29" w:name="_Toc23529088"/>
      <w:bookmarkStart w:id="30" w:name="_Toc24537632"/>
      <w:bookmarkStart w:id="31" w:name="_Toc23331630"/>
      <w:bookmarkStart w:id="32" w:name="_Toc23338848"/>
      <w:bookmarkStart w:id="33" w:name="_Toc23260345"/>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6　</w:t>
      </w:r>
      <w:bookmarkEnd w:id="24"/>
      <w:bookmarkEnd w:id="25"/>
      <w:bookmarkEnd w:id="26"/>
      <w:bookmarkEnd w:id="27"/>
      <w:bookmarkEnd w:id="28"/>
      <w:bookmarkEnd w:id="29"/>
      <w:bookmarkEnd w:id="30"/>
      <w:bookmarkEnd w:id="31"/>
      <w:bookmarkEnd w:id="32"/>
      <w:bookmarkEnd w:id="33"/>
      <w:r>
        <w:rPr>
          <w:rFonts w:ascii="Times New Roman" w:hAnsi="Times New Roman" w:eastAsia="宋体" w:cs="Times New Roman"/>
          <w:snapToGrid w:val="0"/>
          <w:szCs w:val="24"/>
          <w:lang w:bidi="ar"/>
        </w:rPr>
        <w:t>包装、标签、标志和贮存</w:t>
      </w:r>
    </w:p>
    <w:p>
      <w:pPr>
        <w:pStyle w:val="9"/>
        <w:spacing w:beforeAutospacing="0" w:afterAutospacing="0"/>
        <w:ind w:firstLine="480"/>
        <w:rPr>
          <w:rFonts w:hint="default" w:ascii="Times New Roman" w:hAnsi="Times New Roman" w:eastAsia="宋体" w:cs="Times New Roman"/>
          <w:snapToGrid w:val="0"/>
          <w:szCs w:val="24"/>
          <w:lang w:bidi="ar"/>
        </w:rPr>
      </w:pPr>
      <w:r>
        <w:rPr>
          <w:rFonts w:hint="eastAsia" w:ascii="Times New Roman" w:hAnsi="Times New Roman" w:eastAsia="宋体" w:cs="Times New Roman"/>
          <w:snapToGrid w:val="0"/>
          <w:szCs w:val="24"/>
          <w:lang w:eastAsia="zh-CN" w:bidi="ar"/>
        </w:rPr>
        <w:t>按照GB/T 19477要求执行</w:t>
      </w:r>
      <w:r>
        <w:rPr>
          <w:rFonts w:ascii="Times New Roman" w:hAnsi="Times New Roman" w:eastAsia="宋体" w:cs="Times New Roman"/>
          <w:snapToGrid w:val="0"/>
          <w:szCs w:val="24"/>
          <w:lang w:bidi="ar"/>
        </w:rPr>
        <w:t>。</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引用GB/T 19477《畜禽屠宰操作规程 牛》中“6 包装、标签、标志和贮存”，文件运行成熟直接引用。</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7　产品追溯</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7.1　产品追溯与召回应符合GB 12694的要求。</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7.2　记录和文件应符合GB 12694的要求。</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引用GB/T 19477《畜禽屠宰操作规程 牛》中“7.3”和“7.4”，文件运行成熟直接引用。</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标准文本</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　其他要求</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8.1　屠宰供应少数民族食用的牛产品，应尊重少数民族风俗习惯，按照国家有关规定执行。</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8.2　各工位宜安排固定的工人进行操作，如果出现工人需要到其他工位进行操作的情况，在进行下一个工位的操作前，应先更换手套、刀具、衣物和鞋具。</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8.3　工人的手不应与胴（屠）体表面接触，不应把刀具插在胴（屠）体上。</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8.4　工人应经过消毒才可以再次进入车间。</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8.5　不</w:t>
      </w:r>
      <w:r>
        <w:rPr>
          <w:rFonts w:hint="eastAsia" w:ascii="Times New Roman" w:hAnsi="Times New Roman" w:eastAsia="宋体" w:cs="Times New Roman"/>
          <w:snapToGrid w:val="0"/>
          <w:szCs w:val="24"/>
          <w:lang w:val="en-US" w:eastAsia="zh-CN" w:bidi="ar"/>
        </w:rPr>
        <w:t>应</w:t>
      </w:r>
      <w:r>
        <w:rPr>
          <w:rFonts w:ascii="Times New Roman" w:hAnsi="Times New Roman" w:eastAsia="宋体" w:cs="Times New Roman"/>
          <w:snapToGrid w:val="0"/>
          <w:szCs w:val="24"/>
          <w:lang w:bidi="ar"/>
        </w:rPr>
        <w:t>将胴（屠）体长时间搁置在车间内，应及时对其进行必要的操作。</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8.6　工作结束后应及时对地面、案台和设备进行清洗和消毒，宜采用泡沫清洗的方式（水温宜</w:t>
      </w:r>
      <w:r>
        <w:rPr>
          <w:rFonts w:hint="eastAsia" w:ascii="Times New Roman" w:hAnsi="Times New Roman" w:eastAsia="宋体" w:cs="Times New Roman"/>
          <w:snapToGrid w:val="0"/>
          <w:szCs w:val="24"/>
          <w:lang w:val="en-US" w:eastAsia="zh-CN" w:bidi="ar"/>
        </w:rPr>
        <w:t>大于</w:t>
      </w:r>
      <w:r>
        <w:rPr>
          <w:rFonts w:ascii="Times New Roman" w:hAnsi="Times New Roman" w:eastAsia="宋体" w:cs="Times New Roman"/>
          <w:snapToGrid w:val="0"/>
          <w:szCs w:val="24"/>
          <w:lang w:bidi="ar"/>
        </w:rPr>
        <w:t>40 ℃）进行清洗，不宜采用高压水枪进行清洗；若车间内还有未加工好的胴（屠）体和分割肉，不</w:t>
      </w:r>
      <w:r>
        <w:rPr>
          <w:rFonts w:hint="eastAsia" w:ascii="Times New Roman" w:hAnsi="Times New Roman" w:eastAsia="宋体" w:cs="Times New Roman"/>
          <w:snapToGrid w:val="0"/>
          <w:szCs w:val="24"/>
          <w:lang w:val="en-US" w:eastAsia="zh-CN" w:bidi="ar"/>
        </w:rPr>
        <w:t>应</w:t>
      </w:r>
      <w:r>
        <w:rPr>
          <w:rFonts w:ascii="Times New Roman" w:hAnsi="Times New Roman" w:eastAsia="宋体" w:cs="Times New Roman"/>
          <w:snapToGrid w:val="0"/>
          <w:szCs w:val="24"/>
          <w:lang w:bidi="ar"/>
        </w:rPr>
        <w:t>对车间进行清洗；应使用特定的消毒剂进行消毒。</w:t>
      </w:r>
    </w:p>
    <w:p>
      <w:pPr>
        <w:pStyle w:val="9"/>
        <w:spacing w:beforeAutospacing="0" w:afterAutospacing="0"/>
        <w:ind w:firstLine="480"/>
        <w:rPr>
          <w:rFonts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8.7　</w:t>
      </w:r>
      <w:r>
        <w:rPr>
          <w:rFonts w:hint="eastAsia" w:ascii="Times New Roman" w:hAnsi="Times New Roman" w:eastAsia="宋体" w:cs="Times New Roman"/>
          <w:snapToGrid w:val="0"/>
          <w:szCs w:val="24"/>
          <w:lang w:bidi="ar"/>
        </w:rPr>
        <w:t>在屠宰、检验过程使用的某些器具、设备，如宰杀、去角设备、检验刀具、开胸和</w:t>
      </w:r>
      <w:r>
        <w:rPr>
          <w:rFonts w:hint="eastAsia" w:ascii="Times New Roman" w:hAnsi="Times New Roman" w:eastAsia="宋体" w:cs="Times New Roman"/>
          <w:snapToGrid w:val="0"/>
          <w:szCs w:val="24"/>
          <w:lang w:val="en-US" w:eastAsia="zh-CN" w:bidi="ar"/>
        </w:rPr>
        <w:t>劈半</w:t>
      </w:r>
      <w:r>
        <w:rPr>
          <w:rFonts w:hint="eastAsia" w:ascii="Times New Roman" w:hAnsi="Times New Roman" w:eastAsia="宋体" w:cs="Times New Roman"/>
          <w:snapToGrid w:val="0"/>
          <w:szCs w:val="24"/>
          <w:lang w:bidi="ar"/>
        </w:rPr>
        <w:t>刀锯、检疫检验盛放内脏的托盘等，每次使用后，应使用82 ℃</w:t>
      </w:r>
      <w:r>
        <w:rPr>
          <w:rFonts w:hint="eastAsia" w:ascii="Times New Roman" w:hAnsi="Times New Roman" w:eastAsia="宋体" w:cs="Times New Roman"/>
          <w:snapToGrid w:val="0"/>
          <w:szCs w:val="24"/>
          <w:lang w:val="en-US" w:eastAsia="zh-CN" w:bidi="ar"/>
        </w:rPr>
        <w:t>及</w:t>
      </w:r>
      <w:r>
        <w:rPr>
          <w:rFonts w:hint="eastAsia" w:ascii="Times New Roman" w:hAnsi="Times New Roman" w:eastAsia="宋体" w:cs="Times New Roman"/>
          <w:snapToGrid w:val="0"/>
          <w:szCs w:val="24"/>
          <w:lang w:bidi="ar"/>
        </w:rPr>
        <w:t>以上的热水进行消毒</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hint="default" w:ascii="Times New Roman" w:hAnsi="Times New Roman" w:eastAsia="宋体" w:cs="Times New Roman"/>
          <w:snapToGrid w:val="0"/>
          <w:szCs w:val="24"/>
          <w:lang w:bidi="ar"/>
        </w:rPr>
        <w:t>8.</w:t>
      </w:r>
      <w:r>
        <w:rPr>
          <w:rFonts w:hint="default" w:ascii="Times New Roman" w:hAnsi="Times New Roman" w:eastAsia="宋体" w:cs="Times New Roman"/>
          <w:snapToGrid w:val="0"/>
          <w:szCs w:val="24"/>
          <w:lang w:val="en-US" w:eastAsia="zh-CN" w:bidi="ar"/>
        </w:rPr>
        <w:t>8</w:t>
      </w:r>
      <w:r>
        <w:rPr>
          <w:rFonts w:hint="default" w:ascii="Times New Roman" w:hAnsi="Times New Roman" w:eastAsia="宋体" w:cs="Times New Roman"/>
          <w:snapToGrid w:val="0"/>
          <w:szCs w:val="24"/>
          <w:lang w:bidi="ar"/>
        </w:rPr>
        <w:t>　记录和文件应符合GB 12694的要求。</w:t>
      </w:r>
    </w:p>
    <w:p>
      <w:pPr>
        <w:pStyle w:val="9"/>
        <w:spacing w:beforeAutospacing="0" w:afterAutospacing="0"/>
        <w:ind w:firstLine="482"/>
        <w:rPr>
          <w:rFonts w:hint="default" w:ascii="Times New Roman" w:hAnsi="Times New Roman" w:eastAsia="宋体" w:cs="Times New Roman"/>
          <w:snapToGrid w:val="0"/>
          <w:szCs w:val="24"/>
          <w:lang w:bidi="ar"/>
        </w:rPr>
      </w:pPr>
      <w:r>
        <w:rPr>
          <w:rFonts w:ascii="Times New Roman" w:hAnsi="Times New Roman" w:eastAsia="宋体" w:cs="Times New Roman"/>
          <w:b/>
          <w:snapToGrid w:val="0"/>
          <w:szCs w:val="24"/>
          <w:lang w:bidi="ar"/>
        </w:rPr>
        <w:t>制定依据</w:t>
      </w:r>
      <w:r>
        <w:rPr>
          <w:rFonts w:ascii="Times New Roman" w:hAnsi="Times New Roman" w:eastAsia="宋体" w:cs="Times New Roman"/>
          <w:snapToGrid w:val="0"/>
          <w:szCs w:val="24"/>
          <w:lang w:bidi="ar"/>
        </w:rPr>
        <w:t>：</w:t>
      </w:r>
    </w:p>
    <w:p>
      <w:pPr>
        <w:pStyle w:val="9"/>
        <w:spacing w:beforeAutospacing="0" w:afterAutospacing="0"/>
        <w:ind w:firstLine="480"/>
        <w:rPr>
          <w:rFonts w:hint="default" w:ascii="Times New Roman" w:hAnsi="Times New Roman" w:eastAsia="宋体" w:cs="Times New Roman"/>
          <w:snapToGrid w:val="0"/>
          <w:szCs w:val="24"/>
          <w:lang w:bidi="ar"/>
        </w:rPr>
      </w:pPr>
      <w:r>
        <w:rPr>
          <w:rFonts w:ascii="Times New Roman" w:hAnsi="Times New Roman" w:eastAsia="宋体" w:cs="Times New Roman"/>
          <w:snapToGrid w:val="0"/>
          <w:szCs w:val="24"/>
          <w:lang w:bidi="ar"/>
        </w:rPr>
        <w:t>参考GB/T 19477《畜禽屠宰操作规程 牛》中“7 其他要求”，同时对屠宰环节刀具、人员卫生、设备设施清洗消毒进行规范。</w:t>
      </w:r>
    </w:p>
    <w:bookmarkEnd w:id="23"/>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三、主要试验（或验证）的分析、综述报告，技术经济论证，预期的经济效果</w:t>
      </w:r>
    </w:p>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四、采用国际标准和国外先进标准的程度</w:t>
      </w:r>
    </w:p>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bookmarkStart w:id="34" w:name="OLE_LINK130"/>
      <w:r>
        <w:rPr>
          <w:rFonts w:hint="eastAsia" w:ascii="Times New Roman" w:hAnsi="Times New Roman" w:cs="Times New Roman"/>
          <w:b w:val="0"/>
          <w:bCs/>
          <w:szCs w:val="44"/>
          <w:lang w:bidi="ar-SA"/>
        </w:rPr>
        <w:t>五、与现行的法律法规和强制性国家标准的关系</w:t>
      </w:r>
    </w:p>
    <w:bookmarkEnd w:id="34"/>
    <w:p>
      <w:pPr>
        <w:pStyle w:val="29"/>
        <w:ind w:firstLine="480"/>
        <w:rPr>
          <w:snapToGrid w:val="0"/>
          <w:sz w:val="24"/>
          <w:szCs w:val="24"/>
        </w:rPr>
      </w:pPr>
      <w:bookmarkStart w:id="35" w:name="OLE_LINK128"/>
      <w:r>
        <w:rPr>
          <w:rFonts w:hint="eastAsia"/>
          <w:snapToGrid w:val="0"/>
          <w:sz w:val="24"/>
          <w:szCs w:val="24"/>
        </w:rPr>
        <w:t>本文件</w:t>
      </w:r>
      <w:r>
        <w:rPr>
          <w:snapToGrid w:val="0"/>
          <w:sz w:val="24"/>
          <w:szCs w:val="24"/>
        </w:rPr>
        <w:t>在现行法律法规的框架内起草，与现行法律法规</w:t>
      </w:r>
      <w:r>
        <w:rPr>
          <w:rFonts w:hint="eastAsia"/>
          <w:snapToGrid w:val="0"/>
          <w:sz w:val="24"/>
          <w:szCs w:val="24"/>
        </w:rPr>
        <w:t>保持协调一致，</w:t>
      </w:r>
      <w:r>
        <w:rPr>
          <w:snapToGrid w:val="0"/>
          <w:sz w:val="24"/>
          <w:szCs w:val="24"/>
        </w:rPr>
        <w:t>没有矛盾或冲突</w:t>
      </w:r>
      <w:r>
        <w:rPr>
          <w:rFonts w:hint="eastAsia"/>
          <w:snapToGrid w:val="0"/>
          <w:sz w:val="24"/>
          <w:szCs w:val="24"/>
        </w:rPr>
        <w:t>。</w:t>
      </w:r>
      <w:bookmarkEnd w:id="35"/>
      <w:r>
        <w:rPr>
          <w:rFonts w:hint="eastAsia"/>
          <w:snapToGrid w:val="0"/>
          <w:sz w:val="24"/>
          <w:szCs w:val="24"/>
        </w:rPr>
        <w:t>标准文本中对于屠宰加工的部分技术指标、包装、储存和运输以及其他要求直接参考和引用了现行有关国家标准，不再进行重复规定。</w:t>
      </w:r>
    </w:p>
    <w:p>
      <w:pPr>
        <w:pStyle w:val="2"/>
        <w:keepNext w:val="0"/>
        <w:keepLines w:val="0"/>
        <w:widowControl w:val="0"/>
        <w:adjustRightInd/>
        <w:snapToGrid/>
        <w:ind w:firstLine="560"/>
        <w:rPr>
          <w:rFonts w:ascii="Times New Roman" w:hAnsi="Times New Roman" w:cs="Times New Roman"/>
          <w:b w:val="0"/>
          <w:bCs/>
          <w:szCs w:val="44"/>
          <w:lang w:bidi="ar-SA"/>
        </w:rPr>
      </w:pPr>
      <w:bookmarkStart w:id="36" w:name="OLE_LINK132"/>
      <w:r>
        <w:rPr>
          <w:rFonts w:hint="eastAsia" w:ascii="Times New Roman" w:hAnsi="Times New Roman" w:cs="Times New Roman"/>
          <w:b w:val="0"/>
          <w:bCs/>
          <w:szCs w:val="44"/>
          <w:lang w:bidi="ar-SA"/>
        </w:rPr>
        <w:t>六、重大分歧意见的处理经过和依据</w:t>
      </w:r>
    </w:p>
    <w:bookmarkEnd w:id="36"/>
    <w:p>
      <w:pPr>
        <w:spacing w:line="500" w:lineRule="exact"/>
        <w:ind w:firstLine="480"/>
        <w:rPr>
          <w:rFonts w:hint="eastAsia"/>
          <w:sz w:val="24"/>
          <w:szCs w:val="24"/>
        </w:rPr>
      </w:pPr>
      <w:r>
        <w:rPr>
          <w:sz w:val="24"/>
          <w:szCs w:val="24"/>
        </w:rPr>
        <w:t>无。</w:t>
      </w:r>
    </w:p>
    <w:p>
      <w:pPr>
        <w:pStyle w:val="2"/>
        <w:keepNext w:val="0"/>
        <w:keepLines w:val="0"/>
        <w:widowControl w:val="0"/>
        <w:adjustRightInd/>
        <w:snapToGrid/>
        <w:ind w:firstLine="560"/>
        <w:rPr>
          <w:rFonts w:ascii="Times New Roman" w:hAnsi="Times New Roman" w:cs="Times New Roman"/>
          <w:b w:val="0"/>
          <w:bCs/>
          <w:szCs w:val="44"/>
          <w:lang w:bidi="ar-SA"/>
        </w:rPr>
      </w:pPr>
      <w:r>
        <w:rPr>
          <w:rFonts w:hint="eastAsia" w:ascii="Times New Roman" w:hAnsi="Times New Roman" w:cs="Times New Roman"/>
          <w:b w:val="0"/>
          <w:bCs/>
          <w:szCs w:val="44"/>
          <w:lang w:bidi="ar-SA"/>
        </w:rPr>
        <w:t>七、标准作为强制性或推荐性标准的建议</w:t>
      </w:r>
    </w:p>
    <w:p>
      <w:pPr>
        <w:spacing w:line="500" w:lineRule="exact"/>
        <w:ind w:firstLine="480"/>
        <w:rPr>
          <w:rFonts w:hint="eastAsia"/>
          <w:sz w:val="24"/>
          <w:szCs w:val="24"/>
        </w:rPr>
      </w:pPr>
      <w:r>
        <w:rPr>
          <w:sz w:val="24"/>
          <w:szCs w:val="24"/>
        </w:rPr>
        <w:t>建议本标准作为推荐性标准执行。</w:t>
      </w:r>
    </w:p>
    <w:p>
      <w:pPr>
        <w:pStyle w:val="2"/>
        <w:keepNext w:val="0"/>
        <w:keepLines w:val="0"/>
        <w:widowControl w:val="0"/>
        <w:adjustRightInd/>
        <w:snapToGrid/>
        <w:ind w:firstLine="560"/>
        <w:rPr>
          <w:rFonts w:ascii="Times New Roman" w:hAnsi="Times New Roman" w:cs="Times New Roman"/>
          <w:b w:val="0"/>
          <w:bCs/>
          <w:szCs w:val="44"/>
          <w:lang w:bidi="ar-SA"/>
        </w:rPr>
      </w:pPr>
      <w:bookmarkStart w:id="37" w:name="OLE_LINK131"/>
      <w:r>
        <w:rPr>
          <w:rFonts w:hint="eastAsia" w:ascii="Times New Roman" w:hAnsi="Times New Roman" w:cs="Times New Roman"/>
          <w:b w:val="0"/>
          <w:bCs/>
          <w:szCs w:val="44"/>
          <w:lang w:bidi="ar-SA"/>
        </w:rPr>
        <w:t>八、贯彻标准的要求和措施建议（包括组织实施、技术措施、过渡办法等）</w:t>
      </w:r>
      <w:bookmarkStart w:id="38" w:name="OLE_LINK127"/>
    </w:p>
    <w:p>
      <w:pPr>
        <w:spacing w:line="500" w:lineRule="exact"/>
        <w:ind w:firstLine="480"/>
        <w:textAlignment w:val="baseline"/>
        <w:rPr>
          <w:rFonts w:hint="eastAsia"/>
          <w:sz w:val="24"/>
        </w:rPr>
      </w:pPr>
      <w:r>
        <w:rPr>
          <w:sz w:val="24"/>
        </w:rPr>
        <w:t>无</w:t>
      </w:r>
      <w:r>
        <w:rPr>
          <w:rFonts w:hint="eastAsia"/>
          <w:sz w:val="24"/>
        </w:rPr>
        <w:t>。</w:t>
      </w:r>
    </w:p>
    <w:bookmarkEnd w:id="37"/>
    <w:p>
      <w:pPr>
        <w:spacing w:line="500" w:lineRule="exact"/>
        <w:ind w:firstLine="560"/>
        <w:textAlignment w:val="baseline"/>
        <w:outlineLvl w:val="0"/>
        <w:rPr>
          <w:rFonts w:hint="eastAsia" w:eastAsia="黑体"/>
          <w:bCs/>
          <w:kern w:val="44"/>
          <w:sz w:val="28"/>
          <w:szCs w:val="44"/>
        </w:rPr>
      </w:pPr>
      <w:r>
        <w:rPr>
          <w:rFonts w:eastAsia="黑体"/>
          <w:bCs/>
          <w:kern w:val="44"/>
          <w:sz w:val="28"/>
          <w:szCs w:val="44"/>
        </w:rPr>
        <w:t>九、废止现行有关标准的建议</w:t>
      </w:r>
    </w:p>
    <w:bookmarkEnd w:id="38"/>
    <w:p>
      <w:pPr>
        <w:spacing w:line="500" w:lineRule="exact"/>
        <w:ind w:firstLine="560"/>
        <w:textAlignment w:val="baseline"/>
        <w:outlineLvl w:val="0"/>
        <w:rPr>
          <w:rFonts w:hint="eastAsia" w:eastAsia="黑体"/>
          <w:bCs/>
          <w:kern w:val="44"/>
          <w:sz w:val="28"/>
          <w:szCs w:val="44"/>
        </w:rPr>
      </w:pPr>
      <w:r>
        <w:rPr>
          <w:rFonts w:eastAsia="黑体"/>
          <w:bCs/>
          <w:kern w:val="44"/>
          <w:sz w:val="28"/>
          <w:szCs w:val="44"/>
        </w:rPr>
        <w:t>十、其他应予说明的事项</w:t>
      </w:r>
    </w:p>
    <w:p>
      <w:pPr>
        <w:spacing w:line="20" w:lineRule="exact"/>
        <w:ind w:firstLine="480"/>
        <w:textAlignment w:val="baseline"/>
        <w:rPr>
          <w:rFonts w:hint="eastAsia"/>
          <w:sz w:val="24"/>
        </w:rPr>
      </w:pPr>
      <w:r>
        <w:rPr>
          <w:sz w:val="24"/>
        </w:rPr>
        <w:t>无。</w:t>
      </w:r>
    </w:p>
    <w:p>
      <w:pPr>
        <w:spacing w:line="500" w:lineRule="exact"/>
        <w:ind w:firstLine="482"/>
        <w:rPr>
          <w:rFonts w:hint="eastAsia"/>
          <w:bCs/>
          <w:sz w:val="24"/>
          <w:szCs w:val="24"/>
        </w:rPr>
      </w:pPr>
      <w:r>
        <w:rPr>
          <w:b/>
          <w:bCs/>
          <w:sz w:val="24"/>
          <w:szCs w:val="24"/>
        </w:rPr>
        <w:t xml:space="preserve">                                                      </w:t>
      </w:r>
      <w:r>
        <w:rPr>
          <w:bCs/>
          <w:sz w:val="24"/>
          <w:szCs w:val="24"/>
        </w:rPr>
        <w:t>标准编制组</w:t>
      </w:r>
    </w:p>
    <w:p>
      <w:pPr>
        <w:spacing w:line="500" w:lineRule="exact"/>
        <w:ind w:firstLine="480"/>
        <w:rPr>
          <w:rFonts w:ascii="Times New Roman" w:hAnsi="Times New Roman" w:cs="Times New Roman"/>
          <w:bCs/>
          <w:sz w:val="24"/>
          <w:szCs w:val="24"/>
        </w:rPr>
      </w:pPr>
      <w:r>
        <w:rPr>
          <w:bCs/>
          <w:sz w:val="24"/>
          <w:szCs w:val="24"/>
        </w:rPr>
        <w:t xml:space="preserve">                                                      </w:t>
      </w:r>
      <w:r>
        <w:rPr>
          <w:rFonts w:ascii="Times New Roman" w:hAnsi="Times New Roman" w:cs="Times New Roman"/>
          <w:bCs/>
          <w:sz w:val="24"/>
          <w:szCs w:val="24"/>
        </w:rPr>
        <w:t>202</w:t>
      </w:r>
      <w:r>
        <w:rPr>
          <w:rFonts w:hint="eastAsia" w:ascii="Times New Roman" w:hAnsi="Times New Roman" w:cs="Times New Roman"/>
          <w:bCs/>
          <w:sz w:val="24"/>
          <w:szCs w:val="24"/>
        </w:rPr>
        <w:t>5</w:t>
      </w:r>
      <w:r>
        <w:rPr>
          <w:rFonts w:ascii="Times New Roman" w:hAnsi="Times New Roman" w:cs="Times New Roman"/>
          <w:bCs/>
          <w:sz w:val="24"/>
          <w:szCs w:val="24"/>
        </w:rPr>
        <w:t>年</w:t>
      </w:r>
      <w:r>
        <w:rPr>
          <w:rFonts w:hint="eastAsia" w:ascii="Times New Roman" w:hAnsi="Times New Roman" w:cs="Times New Roman"/>
          <w:bCs/>
          <w:sz w:val="24"/>
          <w:szCs w:val="24"/>
        </w:rPr>
        <w:t>5</w:t>
      </w:r>
      <w:r>
        <w:rPr>
          <w:rFonts w:ascii="Times New Roman" w:hAnsi="Times New Roman" w:cs="Times New Roman"/>
          <w:bCs/>
          <w:sz w:val="24"/>
          <w:szCs w:val="24"/>
        </w:rPr>
        <w:t>月</w:t>
      </w:r>
    </w:p>
    <w:p>
      <w:pPr>
        <w:pStyle w:val="36"/>
        <w:numPr>
          <w:ilvl w:val="1"/>
          <w:numId w:val="0"/>
        </w:numPr>
        <w:spacing w:beforeLines="0" w:afterLines="0" w:line="360" w:lineRule="auto"/>
        <w:rPr>
          <w:rFonts w:hint="eastAsia" w:ascii="宋体" w:hAnsi="宋体" w:eastAsia="宋体" w:cs="宋体"/>
          <w:snapToGrid w:val="0"/>
          <w:szCs w:val="20"/>
        </w:rPr>
      </w:pPr>
      <w:bookmarkStart w:id="39" w:name="OLE_LINK134"/>
      <w:bookmarkEnd w:id="39"/>
      <w:bookmarkStart w:id="40" w:name="OLE_LINK126"/>
      <w:bookmarkEnd w:id="40"/>
      <w:bookmarkStart w:id="41" w:name="OLE_LINK135"/>
      <w:bookmarkEnd w:id="41"/>
      <w:bookmarkStart w:id="42" w:name="OLE_LINK125"/>
      <w:bookmarkEnd w:id="42"/>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1417" w:footer="1134"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8030705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Bold">
    <w:panose1 w:val="02020803070505020304"/>
    <w:charset w:val="00"/>
    <w:family w:val="auto"/>
    <w:pitch w:val="default"/>
    <w:sig w:usb0="E0002AEF" w:usb1="C0007841" w:usb2="00000009" w:usb3="00000000" w:csb0="400001FF" w:csb1="FFFF0000"/>
  </w:font>
  <w:font w:name="Songti SC">
    <w:panose1 w:val="02010800040101010101"/>
    <w:charset w:val="86"/>
    <w:family w:val="auto"/>
    <w:pitch w:val="default"/>
    <w:sig w:usb0="00000001" w:usb1="080F0000" w:usb2="00000000" w:usb3="00000000" w:csb0="00040000" w:csb1="00000000"/>
  </w:font>
  <w:font w:name="Songti SC Bold">
    <w:panose1 w:val="02010800040101010101"/>
    <w:charset w:val="86"/>
    <w:family w:val="auto"/>
    <w:pitch w:val="default"/>
    <w:sig w:usb0="00000001" w:usb1="080F0000" w:usb2="00000000" w:usb3="00000000" w:csb0="00040000" w:csb1="00000000"/>
  </w:font>
  <w:font w:name="等线 Light">
    <w:altName w:val="汉仪中等线KW"/>
    <w:panose1 w:val="02010600030101010101"/>
    <w:charset w:val="86"/>
    <w:family w:val="auto"/>
    <w:pitch w:val="default"/>
    <w:sig w:usb0="00000000" w:usb1="00000000" w:usb2="00000016" w:usb3="00000000" w:csb0="0004000F" w:csb1="00000000"/>
  </w:font>
  <w:font w:name="仿宋_GB2312">
    <w:altName w:val="方正仿宋_GBK"/>
    <w:panose1 w:val="020B0604020202020204"/>
    <w:charset w:val="86"/>
    <w:family w:val="modern"/>
    <w:pitch w:val="default"/>
    <w:sig w:usb0="00000000" w:usb1="00000000" w:usb2="00000000" w:usb3="00000000" w:csb0="00040000" w:csb1="00000000"/>
  </w:font>
  <w:font w:name="楷体_GB2312">
    <w:altName w:val="汉仪楷体简"/>
    <w:panose1 w:val="00000000000000000000"/>
    <w:charset w:val="86"/>
    <w:family w:val="auto"/>
    <w:pitch w:val="default"/>
    <w:sig w:usb0="00000000" w:usb1="00000000" w:usb2="00000000" w:usb3="00000000" w:csb0="00040000" w:csb1="00000000"/>
  </w:font>
  <w:font w:name="MingLiU">
    <w:altName w:val="宋体-繁"/>
    <w:panose1 w:val="02010609000101010101"/>
    <w:charset w:val="88"/>
    <w:family w:val="modern"/>
    <w:pitch w:val="default"/>
    <w:sig w:usb0="00000000" w:usb1="00000000" w:usb2="00000016" w:usb3="00000000" w:csb0="00100001" w:csb1="00000000"/>
  </w:font>
  <w:font w:name="等线">
    <w:altName w:val="汉仪中等线KW"/>
    <w:panose1 w:val="02010600030101010101"/>
    <w:charset w:val="86"/>
    <w:family w:val="auto"/>
    <w:pitch w:val="default"/>
    <w:sig w:usb0="00000000" w:usb1="00000000" w:usb2="00000016" w:usb3="00000000" w:csb0="0004000F"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方正仿宋_GBK">
    <w:panose1 w:val="02000000000000000000"/>
    <w:charset w:val="86"/>
    <w:family w:val="auto"/>
    <w:pitch w:val="default"/>
    <w:sig w:usb0="A00002BF" w:usb1="38CF7CFA" w:usb2="00082016" w:usb3="00000000" w:csb0="00040001" w:csb1="00000000"/>
  </w:font>
  <w:font w:name="宋体-繁">
    <w:panose1 w:val="02010600040101010101"/>
    <w:charset w:val="86"/>
    <w:family w:val="auto"/>
    <w:pitch w:val="default"/>
    <w:sig w:usb0="00000287" w:usb1="080F0000" w:usb2="00000000" w:usb3="00000000" w:csb0="0004009F" w:csb1="DFD7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360"/>
                            <w:rPr>
                              <w:rFonts w:hint="eastAsia"/>
                            </w:rPr>
                          </w:pPr>
                          <w:r>
                            <w:fldChar w:fldCharType="begin"/>
                          </w:r>
                          <w:r>
                            <w:instrText xml:space="preserve"> PAGE  \* MERGEFORMAT </w:instrText>
                          </w:r>
                          <w:r>
                            <w:fldChar w:fldCharType="separate"/>
                          </w:r>
                          <w:r>
                            <w:t>1</w:t>
                          </w:r>
                          <w:r>
                            <w:fldChar w:fldCharType="end"/>
                          </w:r>
                        </w:p>
                        <w:p>
                          <w:pPr>
                            <w:pStyle w:val="7"/>
                            <w:ind w:firstLine="36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Dt23LAIAAFU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0GuWha3eWR6ho3jero4BAra6RlE6JXqt0G1tZfrJiO38576NevobLB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FgAA&#10;AGRycy9QSwECFAAUAAAACACHTuJAs0lY7tAAAAAFAQAADwAAAAAAAAABACAAAAA4AAAAZHJzL2Rv&#10;d25yZXYueG1sUEsBAhQAFAAAAAgAh07iQL0O3bcsAgAAVQQAAA4AAAAAAAAAAQAgAAAANQEAAGRy&#10;cy9lMm9Eb2MueG1sUEsFBgAAAAAGAAYAWQEAANMFAAAAAA==&#10;">
              <v:fill on="f" focussize="0,0"/>
              <v:stroke on="f" weight="0.5pt"/>
              <v:imagedata o:title=""/>
              <o:lock v:ext="edit" aspectratio="f"/>
              <v:textbox inset="0mm,0mm,0mm,0mm" style="mso-fit-shape-to-text:t;">
                <w:txbxContent>
                  <w:p>
                    <w:pPr>
                      <w:pStyle w:val="7"/>
                      <w:ind w:firstLine="360"/>
                      <w:rPr>
                        <w:rFonts w:hint="eastAsia"/>
                      </w:rPr>
                    </w:pPr>
                    <w:r>
                      <w:fldChar w:fldCharType="begin"/>
                    </w:r>
                    <w:r>
                      <w:instrText xml:space="preserve"> PAGE  \* MERGEFORMAT </w:instrText>
                    </w:r>
                    <w:r>
                      <w:fldChar w:fldCharType="separate"/>
                    </w:r>
                    <w:r>
                      <w:t>1</w:t>
                    </w:r>
                    <w:r>
                      <w:fldChar w:fldCharType="end"/>
                    </w:r>
                  </w:p>
                  <w:p>
                    <w:pPr>
                      <w:pStyle w:val="7"/>
                      <w:ind w:firstLine="360"/>
                      <w:jc w:val="both"/>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posOffset>2668905</wp:posOffset>
              </wp:positionH>
              <wp:positionV relativeFrom="paragraph">
                <wp:posOffset>12700</wp:posOffset>
              </wp:positionV>
              <wp:extent cx="23495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0" w:firstLineChars="0"/>
                            <w:jc w:val="center"/>
                            <w:rPr>
                              <w:rFonts w:hint="eastAsia"/>
                            </w:rPr>
                          </w:pP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15pt;margin-top:1pt;height:144pt;width:18.5pt;mso-position-horizontal-relative:margin;z-index:251660288;mso-width-relative:page;mso-height-relative:page;" filled="f" stroked="f" coordsize="21600,21600" o:gfxdata="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BYAAABkcnMvUEsBAhQAFAAAAAgAh07iQOGMI6zWAAAACQEAAA8AAAAAAAAAAQAgAAAA&#10;OAAAAGRycy9kb3ducmV2LnhtbFBLAQIUABQAAAAIAIdO4kA0MFUgMAIAAFYEAAAOAAAAAAAAAAEA&#10;IAAAADsBAABkcnMvZTJvRG9jLnhtbFBLBQYAAAAABgAGAFkBAADdBQAAAAA=&#10;">
              <v:fill on="f" focussize="0,0"/>
              <v:stroke on="f" weight="0.5pt"/>
              <v:imagedata o:title=""/>
              <o:lock v:ext="edit" aspectratio="f"/>
              <v:textbox inset="0mm,0mm,0mm,0mm" style="mso-fit-shape-to-text:t;">
                <w:txbxContent>
                  <w:p>
                    <w:pPr>
                      <w:pStyle w:val="7"/>
                      <w:ind w:firstLine="0" w:firstLineChars="0"/>
                      <w:jc w:val="center"/>
                      <w:rPr>
                        <w:rFonts w:hint="eastAsia"/>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0" w:firstLineChars="0"/>
                            <w:jc w:val="both"/>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WAAAA&#10;ZHJzL1BLAQIUABQAAAAIAIdO4kCzSVju0AAAAAUBAAAPAAAAAAAAAAEAIAAAADgAAABkcnMvZG93&#10;bnJldi54bWxQSwECFAAUAAAACACHTuJABWGMPysCAABVBAAADgAAAAAAAAABACAAAAA1AQAAZHJz&#10;L2Uyb0RvYy54bWxQSwUGAAAAAAYABgBZAQAA0gUAAAAA&#10;">
              <v:fill on="f" focussize="0,0"/>
              <v:stroke on="f" weight="0.5pt"/>
              <v:imagedata o:title=""/>
              <o:lock v:ext="edit" aspectratio="f"/>
              <v:textbox inset="0mm,0mm,0mm,0mm" style="mso-fit-shape-to-text:t;">
                <w:txbxContent>
                  <w:p>
                    <w:pPr>
                      <w:pStyle w:val="7"/>
                      <w:ind w:firstLine="0" w:firstLineChars="0"/>
                      <w:jc w:val="both"/>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6"/>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0"/>
      <w:suff w:val="nothing"/>
      <w:lvlText w:val="%1.%2.%3　"/>
      <w:lvlJc w:val="left"/>
      <w:pPr>
        <w:ind w:left="0" w:firstLine="0"/>
      </w:pPr>
      <w:rPr>
        <w:rFonts w:hint="eastAsia" w:ascii="黑体" w:hAnsi="Times New Roman" w:eastAsia="黑体"/>
        <w:b w:val="0"/>
        <w:i w:val="0"/>
        <w:sz w:val="21"/>
      </w:rPr>
    </w:lvl>
    <w:lvl w:ilvl="3" w:tentative="0">
      <w:start w:val="1"/>
      <w:numFmt w:val="decimal"/>
      <w:pStyle w:val="42"/>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C5917C3"/>
    <w:multiLevelType w:val="multilevel"/>
    <w:tmpl w:val="2C5917C3"/>
    <w:lvl w:ilvl="0" w:tentative="0">
      <w:start w:val="1"/>
      <w:numFmt w:val="none"/>
      <w:pStyle w:val="34"/>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43"/>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1961AC5"/>
    <w:multiLevelType w:val="multilevel"/>
    <w:tmpl w:val="61961AC5"/>
    <w:lvl w:ilvl="0" w:tentative="0">
      <w:start w:val="1"/>
      <w:numFmt w:val="chineseCountingThousand"/>
      <w:suff w:val="nothing"/>
      <w:lvlText w:val="第%1章"/>
      <w:lvlJc w:val="left"/>
      <w:pPr>
        <w:ind w:left="0" w:firstLine="0"/>
      </w:pPr>
      <w:rPr>
        <w:rFonts w:hint="eastAsia"/>
      </w:rPr>
    </w:lvl>
    <w:lvl w:ilvl="1" w:tentative="0">
      <w:start w:val="1"/>
      <w:numFmt w:val="none"/>
      <w:pStyle w:val="3"/>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4">
    <w:nsid w:val="646260FA"/>
    <w:multiLevelType w:val="multilevel"/>
    <w:tmpl w:val="646260FA"/>
    <w:lvl w:ilvl="0" w:tentative="0">
      <w:start w:val="1"/>
      <w:numFmt w:val="decimal"/>
      <w:pStyle w:val="3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2"/>
      <w:suff w:val="nothing"/>
      <w:lvlText w:val="%1%2　"/>
      <w:lvlJc w:val="left"/>
      <w:pPr>
        <w:ind w:left="0" w:firstLine="0"/>
      </w:pPr>
      <w:rPr>
        <w:rFonts w:hint="eastAsia" w:ascii="黑体" w:eastAsia="黑体"/>
        <w:b w:val="0"/>
        <w:i w:val="0"/>
        <w:sz w:val="21"/>
      </w:rPr>
    </w:lvl>
    <w:lvl w:ilvl="2" w:tentative="0">
      <w:start w:val="1"/>
      <w:numFmt w:val="decimal"/>
      <w:pStyle w:val="5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1418" w:firstLine="0"/>
      </w:pPr>
      <w:rPr>
        <w:rFonts w:hint="eastAsia" w:ascii="黑体" w:eastAsia="黑体"/>
        <w:b w:val="0"/>
        <w:i w:val="0"/>
        <w:color w:val="auto"/>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DBF04F4"/>
    <w:multiLevelType w:val="multilevel"/>
    <w:tmpl w:val="6DBF04F4"/>
    <w:lvl w:ilvl="0" w:tentative="0">
      <w:start w:val="1"/>
      <w:numFmt w:val="none"/>
      <w:pStyle w:val="3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0"/>
  </w:num>
  <w:num w:numId="3">
    <w:abstractNumId w:val="1"/>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YxYmNiMmFiOWI4ODczM2I1MTRmYWYyMWE0NzVhNzQifQ=="/>
  </w:docVars>
  <w:rsids>
    <w:rsidRoot w:val="00A241FB"/>
    <w:rsid w:val="000574ED"/>
    <w:rsid w:val="00105208"/>
    <w:rsid w:val="001559B8"/>
    <w:rsid w:val="00157045"/>
    <w:rsid w:val="001D78E4"/>
    <w:rsid w:val="001E1983"/>
    <w:rsid w:val="002A1B70"/>
    <w:rsid w:val="002D213C"/>
    <w:rsid w:val="002D5546"/>
    <w:rsid w:val="00355578"/>
    <w:rsid w:val="00366739"/>
    <w:rsid w:val="0036785B"/>
    <w:rsid w:val="003752AB"/>
    <w:rsid w:val="003C6F3B"/>
    <w:rsid w:val="003D66B4"/>
    <w:rsid w:val="004279F7"/>
    <w:rsid w:val="00431B68"/>
    <w:rsid w:val="00433588"/>
    <w:rsid w:val="004C1FA8"/>
    <w:rsid w:val="004F037F"/>
    <w:rsid w:val="00500532"/>
    <w:rsid w:val="0051085F"/>
    <w:rsid w:val="00554AAE"/>
    <w:rsid w:val="005629CB"/>
    <w:rsid w:val="00577718"/>
    <w:rsid w:val="005C6ADC"/>
    <w:rsid w:val="005F067C"/>
    <w:rsid w:val="00622E60"/>
    <w:rsid w:val="007307B6"/>
    <w:rsid w:val="00731B99"/>
    <w:rsid w:val="0075417F"/>
    <w:rsid w:val="007558C3"/>
    <w:rsid w:val="00815815"/>
    <w:rsid w:val="008A07C4"/>
    <w:rsid w:val="00920750"/>
    <w:rsid w:val="00960C0F"/>
    <w:rsid w:val="00965EE4"/>
    <w:rsid w:val="00987ED2"/>
    <w:rsid w:val="009B36D3"/>
    <w:rsid w:val="009B5B08"/>
    <w:rsid w:val="009E0EEB"/>
    <w:rsid w:val="009E4416"/>
    <w:rsid w:val="009E5BB5"/>
    <w:rsid w:val="00A12741"/>
    <w:rsid w:val="00A2159E"/>
    <w:rsid w:val="00A241FB"/>
    <w:rsid w:val="00A6252D"/>
    <w:rsid w:val="00AD1339"/>
    <w:rsid w:val="00BF08A7"/>
    <w:rsid w:val="00C43D7B"/>
    <w:rsid w:val="00C4675F"/>
    <w:rsid w:val="00C60D45"/>
    <w:rsid w:val="00C97C3D"/>
    <w:rsid w:val="00D258BF"/>
    <w:rsid w:val="00D41B85"/>
    <w:rsid w:val="00D56D84"/>
    <w:rsid w:val="00D67FBE"/>
    <w:rsid w:val="00D72B01"/>
    <w:rsid w:val="00D7568F"/>
    <w:rsid w:val="00DA5C53"/>
    <w:rsid w:val="00E23FFF"/>
    <w:rsid w:val="00E508A4"/>
    <w:rsid w:val="00E954BD"/>
    <w:rsid w:val="00ED3A9F"/>
    <w:rsid w:val="00EF0913"/>
    <w:rsid w:val="00F53F3A"/>
    <w:rsid w:val="010A6538"/>
    <w:rsid w:val="012320E7"/>
    <w:rsid w:val="01344802"/>
    <w:rsid w:val="013F1C5A"/>
    <w:rsid w:val="016C0FA1"/>
    <w:rsid w:val="0176597C"/>
    <w:rsid w:val="019D3EAB"/>
    <w:rsid w:val="01A83C46"/>
    <w:rsid w:val="01B446F6"/>
    <w:rsid w:val="01BD35AB"/>
    <w:rsid w:val="01E30DAF"/>
    <w:rsid w:val="02034E2E"/>
    <w:rsid w:val="020E2058"/>
    <w:rsid w:val="020E3E06"/>
    <w:rsid w:val="023525D8"/>
    <w:rsid w:val="02702D13"/>
    <w:rsid w:val="02B13C3C"/>
    <w:rsid w:val="02D1511D"/>
    <w:rsid w:val="02E42DB9"/>
    <w:rsid w:val="02FE7F5E"/>
    <w:rsid w:val="03424BB5"/>
    <w:rsid w:val="035219A2"/>
    <w:rsid w:val="03923BB3"/>
    <w:rsid w:val="03BB7FBE"/>
    <w:rsid w:val="03CC5D27"/>
    <w:rsid w:val="03D8291E"/>
    <w:rsid w:val="040A4AA1"/>
    <w:rsid w:val="04762137"/>
    <w:rsid w:val="049C7DEF"/>
    <w:rsid w:val="04B8274F"/>
    <w:rsid w:val="04E912B5"/>
    <w:rsid w:val="0500133C"/>
    <w:rsid w:val="051E333A"/>
    <w:rsid w:val="052F2D69"/>
    <w:rsid w:val="05597A8E"/>
    <w:rsid w:val="057E74F5"/>
    <w:rsid w:val="05BE00F4"/>
    <w:rsid w:val="05D62E8D"/>
    <w:rsid w:val="06514C09"/>
    <w:rsid w:val="0667442D"/>
    <w:rsid w:val="06695EB2"/>
    <w:rsid w:val="069B5E85"/>
    <w:rsid w:val="06C21663"/>
    <w:rsid w:val="07B92A66"/>
    <w:rsid w:val="07C9722F"/>
    <w:rsid w:val="080F6A30"/>
    <w:rsid w:val="081E1587"/>
    <w:rsid w:val="082731AE"/>
    <w:rsid w:val="089A4646"/>
    <w:rsid w:val="08AE00F1"/>
    <w:rsid w:val="08D311B1"/>
    <w:rsid w:val="08F72A0F"/>
    <w:rsid w:val="08FE74AC"/>
    <w:rsid w:val="08FF6B9F"/>
    <w:rsid w:val="093C74AB"/>
    <w:rsid w:val="095742E5"/>
    <w:rsid w:val="097A7FD3"/>
    <w:rsid w:val="09BE4364"/>
    <w:rsid w:val="09F047D6"/>
    <w:rsid w:val="0A0425B4"/>
    <w:rsid w:val="0A1E4E03"/>
    <w:rsid w:val="0AD025A1"/>
    <w:rsid w:val="0AD57BB7"/>
    <w:rsid w:val="0AD936FE"/>
    <w:rsid w:val="0AE93662"/>
    <w:rsid w:val="0B257326"/>
    <w:rsid w:val="0B3C19E4"/>
    <w:rsid w:val="0B566A96"/>
    <w:rsid w:val="0B616A0C"/>
    <w:rsid w:val="0B633415"/>
    <w:rsid w:val="0B8909A2"/>
    <w:rsid w:val="0B8D2240"/>
    <w:rsid w:val="0B8E420A"/>
    <w:rsid w:val="0BBE064B"/>
    <w:rsid w:val="0C0A1AE2"/>
    <w:rsid w:val="0C580AA0"/>
    <w:rsid w:val="0C6E02C3"/>
    <w:rsid w:val="0C743400"/>
    <w:rsid w:val="0CA85443"/>
    <w:rsid w:val="0CAD39BE"/>
    <w:rsid w:val="0CDB7809"/>
    <w:rsid w:val="0D2941EA"/>
    <w:rsid w:val="0D4100A2"/>
    <w:rsid w:val="0D4C1C87"/>
    <w:rsid w:val="0D4D216F"/>
    <w:rsid w:val="0D781858"/>
    <w:rsid w:val="0D833756"/>
    <w:rsid w:val="0D8E6B48"/>
    <w:rsid w:val="0D9E5A0B"/>
    <w:rsid w:val="0DDB285F"/>
    <w:rsid w:val="0DE85E53"/>
    <w:rsid w:val="0E0B0C2A"/>
    <w:rsid w:val="0E5B15B9"/>
    <w:rsid w:val="0E9168D0"/>
    <w:rsid w:val="0EF5B2D2"/>
    <w:rsid w:val="0F046CBD"/>
    <w:rsid w:val="0F3C52CF"/>
    <w:rsid w:val="0F3D323C"/>
    <w:rsid w:val="0F5D36FF"/>
    <w:rsid w:val="0F6A73DB"/>
    <w:rsid w:val="0F9F0794"/>
    <w:rsid w:val="0FA12B66"/>
    <w:rsid w:val="0FA61B22"/>
    <w:rsid w:val="0FAB0EE6"/>
    <w:rsid w:val="0FB029A1"/>
    <w:rsid w:val="0FBA737B"/>
    <w:rsid w:val="0FBE46E2"/>
    <w:rsid w:val="100827DD"/>
    <w:rsid w:val="104F66DC"/>
    <w:rsid w:val="10791E78"/>
    <w:rsid w:val="10D12BCF"/>
    <w:rsid w:val="10FD1C16"/>
    <w:rsid w:val="10FE156B"/>
    <w:rsid w:val="11375E28"/>
    <w:rsid w:val="115832F0"/>
    <w:rsid w:val="11991213"/>
    <w:rsid w:val="119968E4"/>
    <w:rsid w:val="119B31DD"/>
    <w:rsid w:val="11B21219"/>
    <w:rsid w:val="12105979"/>
    <w:rsid w:val="12211934"/>
    <w:rsid w:val="12346D4B"/>
    <w:rsid w:val="124D44D7"/>
    <w:rsid w:val="124E2555"/>
    <w:rsid w:val="12817EF0"/>
    <w:rsid w:val="12BE7183"/>
    <w:rsid w:val="12D60970"/>
    <w:rsid w:val="12DD1229"/>
    <w:rsid w:val="12E12E71"/>
    <w:rsid w:val="12EF4AAB"/>
    <w:rsid w:val="12EF777D"/>
    <w:rsid w:val="13095F47"/>
    <w:rsid w:val="13223BB5"/>
    <w:rsid w:val="133C534F"/>
    <w:rsid w:val="139323BD"/>
    <w:rsid w:val="13954387"/>
    <w:rsid w:val="13967780"/>
    <w:rsid w:val="13C04BA1"/>
    <w:rsid w:val="13FB7F63"/>
    <w:rsid w:val="13FE2D40"/>
    <w:rsid w:val="144B28BE"/>
    <w:rsid w:val="147862D3"/>
    <w:rsid w:val="149363ED"/>
    <w:rsid w:val="14C87450"/>
    <w:rsid w:val="14D62EA9"/>
    <w:rsid w:val="14E8498B"/>
    <w:rsid w:val="14F7CA2C"/>
    <w:rsid w:val="15451DDD"/>
    <w:rsid w:val="154C316C"/>
    <w:rsid w:val="157C27DC"/>
    <w:rsid w:val="159E5049"/>
    <w:rsid w:val="15B94470"/>
    <w:rsid w:val="162D0E9D"/>
    <w:rsid w:val="167651EB"/>
    <w:rsid w:val="16887096"/>
    <w:rsid w:val="16B97E07"/>
    <w:rsid w:val="16CB6312"/>
    <w:rsid w:val="16E64352"/>
    <w:rsid w:val="16FE2244"/>
    <w:rsid w:val="17012CAE"/>
    <w:rsid w:val="170B2B2D"/>
    <w:rsid w:val="1728748F"/>
    <w:rsid w:val="175B1444"/>
    <w:rsid w:val="177E3384"/>
    <w:rsid w:val="18100480"/>
    <w:rsid w:val="1840063A"/>
    <w:rsid w:val="185C36C6"/>
    <w:rsid w:val="18601C67"/>
    <w:rsid w:val="186407CC"/>
    <w:rsid w:val="187447AF"/>
    <w:rsid w:val="18925339"/>
    <w:rsid w:val="18B07EB6"/>
    <w:rsid w:val="18B3705E"/>
    <w:rsid w:val="18E15979"/>
    <w:rsid w:val="19033B41"/>
    <w:rsid w:val="190F698A"/>
    <w:rsid w:val="196071E6"/>
    <w:rsid w:val="19633645"/>
    <w:rsid w:val="19703790"/>
    <w:rsid w:val="19826EF3"/>
    <w:rsid w:val="1991251E"/>
    <w:rsid w:val="19923117"/>
    <w:rsid w:val="199D06AA"/>
    <w:rsid w:val="1A0D279E"/>
    <w:rsid w:val="1A126139"/>
    <w:rsid w:val="1A136006"/>
    <w:rsid w:val="1A153EDB"/>
    <w:rsid w:val="1A187AC0"/>
    <w:rsid w:val="1A402B73"/>
    <w:rsid w:val="1A6A4C5B"/>
    <w:rsid w:val="1A6B5E42"/>
    <w:rsid w:val="1A6E456A"/>
    <w:rsid w:val="1ADC289C"/>
    <w:rsid w:val="1AFE6CB6"/>
    <w:rsid w:val="1B0E67CD"/>
    <w:rsid w:val="1B1D4D64"/>
    <w:rsid w:val="1B3E3557"/>
    <w:rsid w:val="1B441CAA"/>
    <w:rsid w:val="1B487F31"/>
    <w:rsid w:val="1B60171F"/>
    <w:rsid w:val="1BA84E74"/>
    <w:rsid w:val="1BB05AD7"/>
    <w:rsid w:val="1BB83309"/>
    <w:rsid w:val="1BEE6D2B"/>
    <w:rsid w:val="1C3109C5"/>
    <w:rsid w:val="1C345105"/>
    <w:rsid w:val="1C735482"/>
    <w:rsid w:val="1C747BBE"/>
    <w:rsid w:val="1C9613CB"/>
    <w:rsid w:val="1CCD7F95"/>
    <w:rsid w:val="1CD1312D"/>
    <w:rsid w:val="1CDE642B"/>
    <w:rsid w:val="1D0C42FA"/>
    <w:rsid w:val="1D4E55A7"/>
    <w:rsid w:val="1D6F763B"/>
    <w:rsid w:val="1DA91785"/>
    <w:rsid w:val="1DC13FCB"/>
    <w:rsid w:val="1DD57E18"/>
    <w:rsid w:val="1E2118ED"/>
    <w:rsid w:val="1E2C7696"/>
    <w:rsid w:val="1E472722"/>
    <w:rsid w:val="1E5D45F1"/>
    <w:rsid w:val="1E7B23D8"/>
    <w:rsid w:val="1E9516DF"/>
    <w:rsid w:val="1EA25BAA"/>
    <w:rsid w:val="1EDD4E34"/>
    <w:rsid w:val="1EDF0F68"/>
    <w:rsid w:val="1EF67D27"/>
    <w:rsid w:val="1F182311"/>
    <w:rsid w:val="1F2A540C"/>
    <w:rsid w:val="1F4B5CA4"/>
    <w:rsid w:val="1F5C21FD"/>
    <w:rsid w:val="1F807DBA"/>
    <w:rsid w:val="1FC104F2"/>
    <w:rsid w:val="1FEA5A5B"/>
    <w:rsid w:val="20112DD2"/>
    <w:rsid w:val="20200092"/>
    <w:rsid w:val="20462DB3"/>
    <w:rsid w:val="20490C29"/>
    <w:rsid w:val="20512A4D"/>
    <w:rsid w:val="20581CF6"/>
    <w:rsid w:val="20801F1B"/>
    <w:rsid w:val="20AC0F62"/>
    <w:rsid w:val="20C1701D"/>
    <w:rsid w:val="20DA2F51"/>
    <w:rsid w:val="211508B6"/>
    <w:rsid w:val="21410F43"/>
    <w:rsid w:val="215F1CC9"/>
    <w:rsid w:val="21986467"/>
    <w:rsid w:val="21E169EA"/>
    <w:rsid w:val="222D0C82"/>
    <w:rsid w:val="222F3BF9"/>
    <w:rsid w:val="2245341D"/>
    <w:rsid w:val="226A7D01"/>
    <w:rsid w:val="2277734E"/>
    <w:rsid w:val="22794E74"/>
    <w:rsid w:val="22801DBF"/>
    <w:rsid w:val="2294222A"/>
    <w:rsid w:val="2295268E"/>
    <w:rsid w:val="22AC524A"/>
    <w:rsid w:val="22DF561F"/>
    <w:rsid w:val="23285432"/>
    <w:rsid w:val="233E16B8"/>
    <w:rsid w:val="23531B69"/>
    <w:rsid w:val="236D7858"/>
    <w:rsid w:val="23810EF1"/>
    <w:rsid w:val="238241FC"/>
    <w:rsid w:val="238D507B"/>
    <w:rsid w:val="239D2DE4"/>
    <w:rsid w:val="23A46F6A"/>
    <w:rsid w:val="23AB5501"/>
    <w:rsid w:val="23D26466"/>
    <w:rsid w:val="23D762F6"/>
    <w:rsid w:val="23E46C65"/>
    <w:rsid w:val="23EE53EE"/>
    <w:rsid w:val="24134BC0"/>
    <w:rsid w:val="241C01AD"/>
    <w:rsid w:val="24D740D4"/>
    <w:rsid w:val="251F15AE"/>
    <w:rsid w:val="253D487F"/>
    <w:rsid w:val="256B2AA0"/>
    <w:rsid w:val="25964932"/>
    <w:rsid w:val="25A20B86"/>
    <w:rsid w:val="26372ABE"/>
    <w:rsid w:val="263E440B"/>
    <w:rsid w:val="264E03C6"/>
    <w:rsid w:val="2670658E"/>
    <w:rsid w:val="2674712B"/>
    <w:rsid w:val="26BB1EFF"/>
    <w:rsid w:val="26CB0767"/>
    <w:rsid w:val="27160EE4"/>
    <w:rsid w:val="27165388"/>
    <w:rsid w:val="272A2BE1"/>
    <w:rsid w:val="273E668C"/>
    <w:rsid w:val="275D3041"/>
    <w:rsid w:val="27884E28"/>
    <w:rsid w:val="27AA5AD0"/>
    <w:rsid w:val="27CB43C4"/>
    <w:rsid w:val="27CE17BE"/>
    <w:rsid w:val="27DA3CB4"/>
    <w:rsid w:val="27EC0729"/>
    <w:rsid w:val="27F1133F"/>
    <w:rsid w:val="281573ED"/>
    <w:rsid w:val="28B46C06"/>
    <w:rsid w:val="28E868B0"/>
    <w:rsid w:val="29407343"/>
    <w:rsid w:val="294C2196"/>
    <w:rsid w:val="295977AD"/>
    <w:rsid w:val="29712D49"/>
    <w:rsid w:val="29746395"/>
    <w:rsid w:val="29FE796B"/>
    <w:rsid w:val="2A0C43EF"/>
    <w:rsid w:val="2A3F341C"/>
    <w:rsid w:val="2A587A65"/>
    <w:rsid w:val="2A922F77"/>
    <w:rsid w:val="2A924D25"/>
    <w:rsid w:val="2A9A1CDE"/>
    <w:rsid w:val="2AC62BBC"/>
    <w:rsid w:val="2B0C0F7B"/>
    <w:rsid w:val="2B430715"/>
    <w:rsid w:val="2BBF5FEE"/>
    <w:rsid w:val="2BEB6DE3"/>
    <w:rsid w:val="2BF23774"/>
    <w:rsid w:val="2C6E531E"/>
    <w:rsid w:val="2C950A1B"/>
    <w:rsid w:val="2C9B18A0"/>
    <w:rsid w:val="2CAD5E46"/>
    <w:rsid w:val="2CB901B1"/>
    <w:rsid w:val="2CCB5015"/>
    <w:rsid w:val="2D200D0E"/>
    <w:rsid w:val="2DCA1287"/>
    <w:rsid w:val="2E246E71"/>
    <w:rsid w:val="2E2760CC"/>
    <w:rsid w:val="2E3E7710"/>
    <w:rsid w:val="2E951288"/>
    <w:rsid w:val="2EC929D3"/>
    <w:rsid w:val="2F1D4A35"/>
    <w:rsid w:val="2F2B399A"/>
    <w:rsid w:val="2F2F5238"/>
    <w:rsid w:val="2F4A3E20"/>
    <w:rsid w:val="2F631386"/>
    <w:rsid w:val="2F754B98"/>
    <w:rsid w:val="2F764809"/>
    <w:rsid w:val="2FA653B8"/>
    <w:rsid w:val="2FA84FEB"/>
    <w:rsid w:val="2FCD270C"/>
    <w:rsid w:val="2FE80059"/>
    <w:rsid w:val="2FEE36BA"/>
    <w:rsid w:val="2FF72667"/>
    <w:rsid w:val="30093CDB"/>
    <w:rsid w:val="302419BD"/>
    <w:rsid w:val="30920C54"/>
    <w:rsid w:val="30CA500E"/>
    <w:rsid w:val="3106021B"/>
    <w:rsid w:val="31250826"/>
    <w:rsid w:val="31656344"/>
    <w:rsid w:val="31692558"/>
    <w:rsid w:val="316B4522"/>
    <w:rsid w:val="31701B06"/>
    <w:rsid w:val="31846277"/>
    <w:rsid w:val="31C15A70"/>
    <w:rsid w:val="31D73965"/>
    <w:rsid w:val="31E63BA8"/>
    <w:rsid w:val="31F41E38"/>
    <w:rsid w:val="320846B6"/>
    <w:rsid w:val="320C360F"/>
    <w:rsid w:val="321150C9"/>
    <w:rsid w:val="321B5F48"/>
    <w:rsid w:val="325A6A70"/>
    <w:rsid w:val="325D20BC"/>
    <w:rsid w:val="32601BAD"/>
    <w:rsid w:val="32875985"/>
    <w:rsid w:val="32C0264B"/>
    <w:rsid w:val="32C20171"/>
    <w:rsid w:val="32D20837"/>
    <w:rsid w:val="33354DE7"/>
    <w:rsid w:val="33CA3782"/>
    <w:rsid w:val="33D62126"/>
    <w:rsid w:val="34541E69"/>
    <w:rsid w:val="34594B05"/>
    <w:rsid w:val="346C4839"/>
    <w:rsid w:val="34983FA8"/>
    <w:rsid w:val="34A166B5"/>
    <w:rsid w:val="34D32B0A"/>
    <w:rsid w:val="35447564"/>
    <w:rsid w:val="35496BD8"/>
    <w:rsid w:val="35585FE3"/>
    <w:rsid w:val="35675000"/>
    <w:rsid w:val="358E6A31"/>
    <w:rsid w:val="35B50461"/>
    <w:rsid w:val="35D24B6F"/>
    <w:rsid w:val="35D271EC"/>
    <w:rsid w:val="35E7778A"/>
    <w:rsid w:val="35F165B8"/>
    <w:rsid w:val="360928D9"/>
    <w:rsid w:val="36653C36"/>
    <w:rsid w:val="367479D5"/>
    <w:rsid w:val="367C0D08"/>
    <w:rsid w:val="36877D33"/>
    <w:rsid w:val="368C2F70"/>
    <w:rsid w:val="36AA5AEC"/>
    <w:rsid w:val="36B9188B"/>
    <w:rsid w:val="36C00E6C"/>
    <w:rsid w:val="36D14E27"/>
    <w:rsid w:val="36FA437E"/>
    <w:rsid w:val="36FA5E94"/>
    <w:rsid w:val="36FF1994"/>
    <w:rsid w:val="3700359C"/>
    <w:rsid w:val="372E2279"/>
    <w:rsid w:val="372F1B4E"/>
    <w:rsid w:val="373F3FD8"/>
    <w:rsid w:val="37557806"/>
    <w:rsid w:val="37607F59"/>
    <w:rsid w:val="37621F23"/>
    <w:rsid w:val="378620B5"/>
    <w:rsid w:val="37A83DDA"/>
    <w:rsid w:val="37B54749"/>
    <w:rsid w:val="37C00DF6"/>
    <w:rsid w:val="37C16C4A"/>
    <w:rsid w:val="37EF43CD"/>
    <w:rsid w:val="385176F1"/>
    <w:rsid w:val="38657F1D"/>
    <w:rsid w:val="386D5023"/>
    <w:rsid w:val="38753903"/>
    <w:rsid w:val="38961E84"/>
    <w:rsid w:val="38A81BB8"/>
    <w:rsid w:val="38E73F8A"/>
    <w:rsid w:val="38FA397D"/>
    <w:rsid w:val="3951224F"/>
    <w:rsid w:val="395A5062"/>
    <w:rsid w:val="396B1563"/>
    <w:rsid w:val="39801C8D"/>
    <w:rsid w:val="399700F3"/>
    <w:rsid w:val="39AB5E03"/>
    <w:rsid w:val="3A0472C2"/>
    <w:rsid w:val="3A86752C"/>
    <w:rsid w:val="3A8D1D3B"/>
    <w:rsid w:val="3A9248CD"/>
    <w:rsid w:val="3A963B7B"/>
    <w:rsid w:val="3AC76C6D"/>
    <w:rsid w:val="3ADE7B13"/>
    <w:rsid w:val="3AFB06C4"/>
    <w:rsid w:val="3B270540"/>
    <w:rsid w:val="3B464036"/>
    <w:rsid w:val="3B806E1C"/>
    <w:rsid w:val="3BAC151A"/>
    <w:rsid w:val="3BEA2ACC"/>
    <w:rsid w:val="3BFA2706"/>
    <w:rsid w:val="3C1063F2"/>
    <w:rsid w:val="3C7B7D0F"/>
    <w:rsid w:val="3C850B8E"/>
    <w:rsid w:val="3C8C04B4"/>
    <w:rsid w:val="3C990195"/>
    <w:rsid w:val="3CE641EC"/>
    <w:rsid w:val="3CF4186F"/>
    <w:rsid w:val="3D0D5511"/>
    <w:rsid w:val="3D1617E6"/>
    <w:rsid w:val="3D730EA3"/>
    <w:rsid w:val="3DA44BB4"/>
    <w:rsid w:val="3DD07BE6"/>
    <w:rsid w:val="3DD213FB"/>
    <w:rsid w:val="3DFB6D49"/>
    <w:rsid w:val="3E095FF4"/>
    <w:rsid w:val="3E260CC7"/>
    <w:rsid w:val="3E4D7489"/>
    <w:rsid w:val="3E50084E"/>
    <w:rsid w:val="3E7A33B3"/>
    <w:rsid w:val="3E8155E1"/>
    <w:rsid w:val="3E864749"/>
    <w:rsid w:val="3EB94B1E"/>
    <w:rsid w:val="3F1104B7"/>
    <w:rsid w:val="3F1461F9"/>
    <w:rsid w:val="3F1E7077"/>
    <w:rsid w:val="3F214472"/>
    <w:rsid w:val="3F261A88"/>
    <w:rsid w:val="3F2A5A1C"/>
    <w:rsid w:val="3F3A21A7"/>
    <w:rsid w:val="3F4A203A"/>
    <w:rsid w:val="3F5D08B0"/>
    <w:rsid w:val="3F692745"/>
    <w:rsid w:val="3FEE4BA1"/>
    <w:rsid w:val="3FF102E8"/>
    <w:rsid w:val="3FF616FF"/>
    <w:rsid w:val="40034B77"/>
    <w:rsid w:val="4024246B"/>
    <w:rsid w:val="40295CD4"/>
    <w:rsid w:val="40395CDB"/>
    <w:rsid w:val="405C39B3"/>
    <w:rsid w:val="40610FCA"/>
    <w:rsid w:val="40645D6B"/>
    <w:rsid w:val="40C65469"/>
    <w:rsid w:val="40DD2DB6"/>
    <w:rsid w:val="40F5742A"/>
    <w:rsid w:val="41032081"/>
    <w:rsid w:val="41734331"/>
    <w:rsid w:val="41961147"/>
    <w:rsid w:val="419838E2"/>
    <w:rsid w:val="41DD0007"/>
    <w:rsid w:val="420C765B"/>
    <w:rsid w:val="423B584A"/>
    <w:rsid w:val="425863FC"/>
    <w:rsid w:val="425D1C65"/>
    <w:rsid w:val="427E2E38"/>
    <w:rsid w:val="42A67168"/>
    <w:rsid w:val="42EA174A"/>
    <w:rsid w:val="434713C3"/>
    <w:rsid w:val="437159C8"/>
    <w:rsid w:val="438A0837"/>
    <w:rsid w:val="438D657A"/>
    <w:rsid w:val="43A15B81"/>
    <w:rsid w:val="43C83525"/>
    <w:rsid w:val="43C875B2"/>
    <w:rsid w:val="44261675"/>
    <w:rsid w:val="44496945"/>
    <w:rsid w:val="448C11DC"/>
    <w:rsid w:val="4493196E"/>
    <w:rsid w:val="449F4A1B"/>
    <w:rsid w:val="44AE67A8"/>
    <w:rsid w:val="44E65F41"/>
    <w:rsid w:val="45007B27"/>
    <w:rsid w:val="45154A79"/>
    <w:rsid w:val="4517434D"/>
    <w:rsid w:val="45336CAD"/>
    <w:rsid w:val="45471BCD"/>
    <w:rsid w:val="45537EC0"/>
    <w:rsid w:val="45537FBF"/>
    <w:rsid w:val="46011AD1"/>
    <w:rsid w:val="460D5750"/>
    <w:rsid w:val="465E7D59"/>
    <w:rsid w:val="46784F17"/>
    <w:rsid w:val="46AE0CE1"/>
    <w:rsid w:val="46BB4F28"/>
    <w:rsid w:val="46BF2EEE"/>
    <w:rsid w:val="46CE3ABD"/>
    <w:rsid w:val="46D85CF7"/>
    <w:rsid w:val="46ED1809"/>
    <w:rsid w:val="46F5421F"/>
    <w:rsid w:val="471072A6"/>
    <w:rsid w:val="47154BCB"/>
    <w:rsid w:val="472F6C18"/>
    <w:rsid w:val="473F5F86"/>
    <w:rsid w:val="475353E4"/>
    <w:rsid w:val="47865059"/>
    <w:rsid w:val="47AE1288"/>
    <w:rsid w:val="47D00B20"/>
    <w:rsid w:val="480A48AE"/>
    <w:rsid w:val="48180B08"/>
    <w:rsid w:val="48533EA6"/>
    <w:rsid w:val="4882735A"/>
    <w:rsid w:val="48A513F4"/>
    <w:rsid w:val="490443C2"/>
    <w:rsid w:val="492928A1"/>
    <w:rsid w:val="4944592C"/>
    <w:rsid w:val="495A6EFE"/>
    <w:rsid w:val="496D4E83"/>
    <w:rsid w:val="49A308A5"/>
    <w:rsid w:val="49B74350"/>
    <w:rsid w:val="49C83E68"/>
    <w:rsid w:val="49D57D20"/>
    <w:rsid w:val="49DE63B9"/>
    <w:rsid w:val="49F01F40"/>
    <w:rsid w:val="4A05330E"/>
    <w:rsid w:val="4A0A0924"/>
    <w:rsid w:val="4A11580F"/>
    <w:rsid w:val="4A127A55"/>
    <w:rsid w:val="4A161077"/>
    <w:rsid w:val="4A1B0AA1"/>
    <w:rsid w:val="4A301A0D"/>
    <w:rsid w:val="4A4831FA"/>
    <w:rsid w:val="4A656F68"/>
    <w:rsid w:val="4AB21733"/>
    <w:rsid w:val="4ABE526B"/>
    <w:rsid w:val="4ACC50B4"/>
    <w:rsid w:val="4B103D18"/>
    <w:rsid w:val="4B157AF6"/>
    <w:rsid w:val="4B166E55"/>
    <w:rsid w:val="4B1F5173"/>
    <w:rsid w:val="4B2114D0"/>
    <w:rsid w:val="4B46773A"/>
    <w:rsid w:val="4B756271"/>
    <w:rsid w:val="4B904E59"/>
    <w:rsid w:val="4BAE52DF"/>
    <w:rsid w:val="4BB26B7D"/>
    <w:rsid w:val="4BBD4578"/>
    <w:rsid w:val="4BC0573E"/>
    <w:rsid w:val="4BE331DB"/>
    <w:rsid w:val="4C17284F"/>
    <w:rsid w:val="4C2A532E"/>
    <w:rsid w:val="4C4A325A"/>
    <w:rsid w:val="4C60482B"/>
    <w:rsid w:val="4CE03BBE"/>
    <w:rsid w:val="4CEC4311"/>
    <w:rsid w:val="4CFF18E3"/>
    <w:rsid w:val="4D0F7FFF"/>
    <w:rsid w:val="4D1B653C"/>
    <w:rsid w:val="4D233589"/>
    <w:rsid w:val="4D291ACF"/>
    <w:rsid w:val="4D7C38E7"/>
    <w:rsid w:val="4D9B26AF"/>
    <w:rsid w:val="4DA54E06"/>
    <w:rsid w:val="4DA625B9"/>
    <w:rsid w:val="4DC808DA"/>
    <w:rsid w:val="4E102E72"/>
    <w:rsid w:val="4E2C378D"/>
    <w:rsid w:val="4E5A52AA"/>
    <w:rsid w:val="4EC67F4A"/>
    <w:rsid w:val="4F196F13"/>
    <w:rsid w:val="4F5A029F"/>
    <w:rsid w:val="4F6603AB"/>
    <w:rsid w:val="4F732AC8"/>
    <w:rsid w:val="4F960564"/>
    <w:rsid w:val="4FD93BBD"/>
    <w:rsid w:val="501A2F43"/>
    <w:rsid w:val="50501520"/>
    <w:rsid w:val="50505E54"/>
    <w:rsid w:val="50552B58"/>
    <w:rsid w:val="506C497D"/>
    <w:rsid w:val="506F403E"/>
    <w:rsid w:val="50952E17"/>
    <w:rsid w:val="509E5922"/>
    <w:rsid w:val="50BC4CE1"/>
    <w:rsid w:val="50C31580"/>
    <w:rsid w:val="50CC366C"/>
    <w:rsid w:val="50DF2645"/>
    <w:rsid w:val="50F11EF6"/>
    <w:rsid w:val="51165E00"/>
    <w:rsid w:val="512632A1"/>
    <w:rsid w:val="51314464"/>
    <w:rsid w:val="51583D23"/>
    <w:rsid w:val="517939E1"/>
    <w:rsid w:val="51895DA1"/>
    <w:rsid w:val="51975F78"/>
    <w:rsid w:val="51C55131"/>
    <w:rsid w:val="51CE5135"/>
    <w:rsid w:val="51DF4444"/>
    <w:rsid w:val="52021EE1"/>
    <w:rsid w:val="52173BDE"/>
    <w:rsid w:val="522E2CD6"/>
    <w:rsid w:val="523B25CC"/>
    <w:rsid w:val="524B3C28"/>
    <w:rsid w:val="528154FB"/>
    <w:rsid w:val="528D20F2"/>
    <w:rsid w:val="52974D1F"/>
    <w:rsid w:val="529D006B"/>
    <w:rsid w:val="52A63B42"/>
    <w:rsid w:val="52EF60DE"/>
    <w:rsid w:val="530C2833"/>
    <w:rsid w:val="53257BD0"/>
    <w:rsid w:val="53283BC9"/>
    <w:rsid w:val="53364538"/>
    <w:rsid w:val="534A1D91"/>
    <w:rsid w:val="53CC27A6"/>
    <w:rsid w:val="53D83492"/>
    <w:rsid w:val="53DD2C05"/>
    <w:rsid w:val="53F35F85"/>
    <w:rsid w:val="53F71F19"/>
    <w:rsid w:val="54224ABC"/>
    <w:rsid w:val="5422686A"/>
    <w:rsid w:val="542F0E98"/>
    <w:rsid w:val="5435201D"/>
    <w:rsid w:val="54996B2C"/>
    <w:rsid w:val="54F732A7"/>
    <w:rsid w:val="54F8298C"/>
    <w:rsid w:val="550120CD"/>
    <w:rsid w:val="550A31C4"/>
    <w:rsid w:val="556952B8"/>
    <w:rsid w:val="5570192F"/>
    <w:rsid w:val="5572737D"/>
    <w:rsid w:val="55985036"/>
    <w:rsid w:val="55A7171D"/>
    <w:rsid w:val="55B55BE8"/>
    <w:rsid w:val="55C53951"/>
    <w:rsid w:val="55E30B5B"/>
    <w:rsid w:val="55E55DA1"/>
    <w:rsid w:val="56091A90"/>
    <w:rsid w:val="561A38B3"/>
    <w:rsid w:val="56226FF5"/>
    <w:rsid w:val="566C201F"/>
    <w:rsid w:val="566D41FE"/>
    <w:rsid w:val="56BC10FE"/>
    <w:rsid w:val="57012BCC"/>
    <w:rsid w:val="57060A82"/>
    <w:rsid w:val="577206C5"/>
    <w:rsid w:val="57B7551B"/>
    <w:rsid w:val="57B96D41"/>
    <w:rsid w:val="57FD5624"/>
    <w:rsid w:val="58697AD0"/>
    <w:rsid w:val="586A09E8"/>
    <w:rsid w:val="589715D5"/>
    <w:rsid w:val="58A3441E"/>
    <w:rsid w:val="58B2640F"/>
    <w:rsid w:val="58E10AA2"/>
    <w:rsid w:val="58FA6008"/>
    <w:rsid w:val="590C382F"/>
    <w:rsid w:val="5916420F"/>
    <w:rsid w:val="593257A1"/>
    <w:rsid w:val="593B22E3"/>
    <w:rsid w:val="5955323E"/>
    <w:rsid w:val="599E2E37"/>
    <w:rsid w:val="59AC7302"/>
    <w:rsid w:val="59B47F65"/>
    <w:rsid w:val="59C347FC"/>
    <w:rsid w:val="59F82547"/>
    <w:rsid w:val="5A0F3B18"/>
    <w:rsid w:val="5A225816"/>
    <w:rsid w:val="5A3D0E9C"/>
    <w:rsid w:val="5A3D61AC"/>
    <w:rsid w:val="5A957D96"/>
    <w:rsid w:val="5A971D60"/>
    <w:rsid w:val="5A9D2799"/>
    <w:rsid w:val="5AB10D16"/>
    <w:rsid w:val="5AC468CD"/>
    <w:rsid w:val="5B0F555F"/>
    <w:rsid w:val="5B525C87"/>
    <w:rsid w:val="5BA1276A"/>
    <w:rsid w:val="5BA81D4B"/>
    <w:rsid w:val="5BD0155F"/>
    <w:rsid w:val="5BDE576D"/>
    <w:rsid w:val="5BF62AB6"/>
    <w:rsid w:val="5C016B6B"/>
    <w:rsid w:val="5C076A71"/>
    <w:rsid w:val="5C237623"/>
    <w:rsid w:val="5C871960"/>
    <w:rsid w:val="5C912449"/>
    <w:rsid w:val="5CA22C3E"/>
    <w:rsid w:val="5CA94D77"/>
    <w:rsid w:val="5CE40B61"/>
    <w:rsid w:val="5D1F6E63"/>
    <w:rsid w:val="5D635AE5"/>
    <w:rsid w:val="5D6D6DA8"/>
    <w:rsid w:val="5D737731"/>
    <w:rsid w:val="5DAA3B58"/>
    <w:rsid w:val="5DB625DB"/>
    <w:rsid w:val="5DEB46D1"/>
    <w:rsid w:val="5E2558D5"/>
    <w:rsid w:val="5E3C570B"/>
    <w:rsid w:val="5E4D6BE5"/>
    <w:rsid w:val="5E602469"/>
    <w:rsid w:val="5E6B385C"/>
    <w:rsid w:val="5E8F7367"/>
    <w:rsid w:val="5E9067F4"/>
    <w:rsid w:val="5E9A016C"/>
    <w:rsid w:val="5ED01F28"/>
    <w:rsid w:val="5EEC1F4F"/>
    <w:rsid w:val="5EF3152F"/>
    <w:rsid w:val="5F061262"/>
    <w:rsid w:val="5F414DFD"/>
    <w:rsid w:val="5F553F98"/>
    <w:rsid w:val="5F751F44"/>
    <w:rsid w:val="5F950838"/>
    <w:rsid w:val="5FE80968"/>
    <w:rsid w:val="5FEB0458"/>
    <w:rsid w:val="602618C4"/>
    <w:rsid w:val="602A4D59"/>
    <w:rsid w:val="603040BD"/>
    <w:rsid w:val="6059795A"/>
    <w:rsid w:val="60600E46"/>
    <w:rsid w:val="606579CA"/>
    <w:rsid w:val="60B116A2"/>
    <w:rsid w:val="60DB227B"/>
    <w:rsid w:val="60F94494"/>
    <w:rsid w:val="61030EA5"/>
    <w:rsid w:val="613D4CE3"/>
    <w:rsid w:val="615D199E"/>
    <w:rsid w:val="61750921"/>
    <w:rsid w:val="61813DAD"/>
    <w:rsid w:val="618A5A4B"/>
    <w:rsid w:val="619D39D4"/>
    <w:rsid w:val="61E15FB7"/>
    <w:rsid w:val="61FF3D0A"/>
    <w:rsid w:val="61FF5F26"/>
    <w:rsid w:val="622747FC"/>
    <w:rsid w:val="62613170"/>
    <w:rsid w:val="62683FE2"/>
    <w:rsid w:val="62AA3BD4"/>
    <w:rsid w:val="62D71495"/>
    <w:rsid w:val="633204A2"/>
    <w:rsid w:val="634E1496"/>
    <w:rsid w:val="63B35731"/>
    <w:rsid w:val="640F0BB9"/>
    <w:rsid w:val="64187FAD"/>
    <w:rsid w:val="644A1BF1"/>
    <w:rsid w:val="645C36D2"/>
    <w:rsid w:val="64675289"/>
    <w:rsid w:val="64857962"/>
    <w:rsid w:val="648B6D4F"/>
    <w:rsid w:val="65102E3B"/>
    <w:rsid w:val="65242442"/>
    <w:rsid w:val="652C4C9D"/>
    <w:rsid w:val="6530528B"/>
    <w:rsid w:val="654E37B5"/>
    <w:rsid w:val="655F16CC"/>
    <w:rsid w:val="65F170C4"/>
    <w:rsid w:val="664E56D5"/>
    <w:rsid w:val="66644AC0"/>
    <w:rsid w:val="667F18FA"/>
    <w:rsid w:val="66843D80"/>
    <w:rsid w:val="66B00285"/>
    <w:rsid w:val="66B35E49"/>
    <w:rsid w:val="66C814F3"/>
    <w:rsid w:val="66C81DC2"/>
    <w:rsid w:val="66CE6B21"/>
    <w:rsid w:val="66E04A8F"/>
    <w:rsid w:val="67010561"/>
    <w:rsid w:val="67185E65"/>
    <w:rsid w:val="67210478"/>
    <w:rsid w:val="672944EE"/>
    <w:rsid w:val="67527824"/>
    <w:rsid w:val="6773145F"/>
    <w:rsid w:val="678528D6"/>
    <w:rsid w:val="67B850C4"/>
    <w:rsid w:val="67E81E4D"/>
    <w:rsid w:val="68060525"/>
    <w:rsid w:val="681F3395"/>
    <w:rsid w:val="6832131A"/>
    <w:rsid w:val="685017A0"/>
    <w:rsid w:val="68B95597"/>
    <w:rsid w:val="68EF0FB9"/>
    <w:rsid w:val="690B5F52"/>
    <w:rsid w:val="691900BF"/>
    <w:rsid w:val="69623539"/>
    <w:rsid w:val="69935DE8"/>
    <w:rsid w:val="69AC6EAA"/>
    <w:rsid w:val="69C560CB"/>
    <w:rsid w:val="69C83892"/>
    <w:rsid w:val="69DC49DD"/>
    <w:rsid w:val="69E5416A"/>
    <w:rsid w:val="69F36887"/>
    <w:rsid w:val="6A02377A"/>
    <w:rsid w:val="6A5079C7"/>
    <w:rsid w:val="6A731776"/>
    <w:rsid w:val="6A7F58F7"/>
    <w:rsid w:val="6AB64D09"/>
    <w:rsid w:val="6ABC311D"/>
    <w:rsid w:val="6AD55F8D"/>
    <w:rsid w:val="6AF929BB"/>
    <w:rsid w:val="6B005C59"/>
    <w:rsid w:val="6B0D3978"/>
    <w:rsid w:val="6BAE0CB8"/>
    <w:rsid w:val="6BC87862"/>
    <w:rsid w:val="6BE0466C"/>
    <w:rsid w:val="6BE41CAE"/>
    <w:rsid w:val="6C2A2657"/>
    <w:rsid w:val="6C474C68"/>
    <w:rsid w:val="6C5010E4"/>
    <w:rsid w:val="6C673034"/>
    <w:rsid w:val="6C6D7387"/>
    <w:rsid w:val="6CD7423E"/>
    <w:rsid w:val="6CED1CB3"/>
    <w:rsid w:val="6CF523F3"/>
    <w:rsid w:val="6D65184A"/>
    <w:rsid w:val="6D913503"/>
    <w:rsid w:val="6DA47310"/>
    <w:rsid w:val="6DAD31F1"/>
    <w:rsid w:val="6DBE35C1"/>
    <w:rsid w:val="6DDB7D5E"/>
    <w:rsid w:val="6DDE15FC"/>
    <w:rsid w:val="6DF9527C"/>
    <w:rsid w:val="6E0F7A08"/>
    <w:rsid w:val="6E18118C"/>
    <w:rsid w:val="6E494CC8"/>
    <w:rsid w:val="6E7F1EDB"/>
    <w:rsid w:val="6E8913E8"/>
    <w:rsid w:val="6E8B52E0"/>
    <w:rsid w:val="6EDF73DA"/>
    <w:rsid w:val="6EF235B1"/>
    <w:rsid w:val="6EFA1F87"/>
    <w:rsid w:val="6F395A2B"/>
    <w:rsid w:val="6F3F60CB"/>
    <w:rsid w:val="6F487EA1"/>
    <w:rsid w:val="6F512931"/>
    <w:rsid w:val="6F841BAF"/>
    <w:rsid w:val="6F92269E"/>
    <w:rsid w:val="6FC00FB9"/>
    <w:rsid w:val="6FC860C0"/>
    <w:rsid w:val="70044AAA"/>
    <w:rsid w:val="70085F95"/>
    <w:rsid w:val="70353BEA"/>
    <w:rsid w:val="705359D7"/>
    <w:rsid w:val="708B393C"/>
    <w:rsid w:val="709661BE"/>
    <w:rsid w:val="70BD7BEF"/>
    <w:rsid w:val="70F53B43"/>
    <w:rsid w:val="71306613"/>
    <w:rsid w:val="71341C5F"/>
    <w:rsid w:val="714E0AE7"/>
    <w:rsid w:val="716E5301"/>
    <w:rsid w:val="71810C1C"/>
    <w:rsid w:val="71D74312"/>
    <w:rsid w:val="71F1A9DF"/>
    <w:rsid w:val="71FD4747"/>
    <w:rsid w:val="72180648"/>
    <w:rsid w:val="721E646B"/>
    <w:rsid w:val="72231CD3"/>
    <w:rsid w:val="723D2D95"/>
    <w:rsid w:val="723D7C42"/>
    <w:rsid w:val="726522EC"/>
    <w:rsid w:val="728B1D53"/>
    <w:rsid w:val="72C74D55"/>
    <w:rsid w:val="72E90827"/>
    <w:rsid w:val="730833A3"/>
    <w:rsid w:val="730B4C41"/>
    <w:rsid w:val="735C7ED0"/>
    <w:rsid w:val="73BA2088"/>
    <w:rsid w:val="73E144F6"/>
    <w:rsid w:val="741B1591"/>
    <w:rsid w:val="747D391D"/>
    <w:rsid w:val="74907796"/>
    <w:rsid w:val="74A72748"/>
    <w:rsid w:val="74EB6AD9"/>
    <w:rsid w:val="74F160B9"/>
    <w:rsid w:val="75385A96"/>
    <w:rsid w:val="754A3647"/>
    <w:rsid w:val="75AE7B06"/>
    <w:rsid w:val="75CC6074"/>
    <w:rsid w:val="75D97A47"/>
    <w:rsid w:val="76676633"/>
    <w:rsid w:val="76805946"/>
    <w:rsid w:val="769907B6"/>
    <w:rsid w:val="76A50FBD"/>
    <w:rsid w:val="76DA32A9"/>
    <w:rsid w:val="773A78A3"/>
    <w:rsid w:val="773F7AD4"/>
    <w:rsid w:val="77C655DB"/>
    <w:rsid w:val="77CB2BF1"/>
    <w:rsid w:val="77D045B1"/>
    <w:rsid w:val="78A952F8"/>
    <w:rsid w:val="78CC3EAC"/>
    <w:rsid w:val="78F04976"/>
    <w:rsid w:val="790C34C1"/>
    <w:rsid w:val="7924080B"/>
    <w:rsid w:val="7925094A"/>
    <w:rsid w:val="79256331"/>
    <w:rsid w:val="79361A2C"/>
    <w:rsid w:val="79536369"/>
    <w:rsid w:val="79703A50"/>
    <w:rsid w:val="79764A39"/>
    <w:rsid w:val="79984D55"/>
    <w:rsid w:val="79A656C4"/>
    <w:rsid w:val="79C01278"/>
    <w:rsid w:val="79F503F9"/>
    <w:rsid w:val="7A0C01A2"/>
    <w:rsid w:val="7A2605B3"/>
    <w:rsid w:val="7A3C1B84"/>
    <w:rsid w:val="7A5073DE"/>
    <w:rsid w:val="7A720B98"/>
    <w:rsid w:val="7A9244A9"/>
    <w:rsid w:val="7AA02113"/>
    <w:rsid w:val="7AAA2F92"/>
    <w:rsid w:val="7ACA3BF4"/>
    <w:rsid w:val="7ACF47A6"/>
    <w:rsid w:val="7AE10883"/>
    <w:rsid w:val="7AEA5A84"/>
    <w:rsid w:val="7AF406B1"/>
    <w:rsid w:val="7B0525BA"/>
    <w:rsid w:val="7B3D625A"/>
    <w:rsid w:val="7B7D2454"/>
    <w:rsid w:val="7B98728E"/>
    <w:rsid w:val="7BA63759"/>
    <w:rsid w:val="7BA7127F"/>
    <w:rsid w:val="7BE6624C"/>
    <w:rsid w:val="7BEA1986"/>
    <w:rsid w:val="7BEE3352"/>
    <w:rsid w:val="7BFF2E69"/>
    <w:rsid w:val="7C063E6E"/>
    <w:rsid w:val="7C262AEC"/>
    <w:rsid w:val="7C266648"/>
    <w:rsid w:val="7C765821"/>
    <w:rsid w:val="7CA57EB5"/>
    <w:rsid w:val="7CD04806"/>
    <w:rsid w:val="7CEB12EA"/>
    <w:rsid w:val="7CF14EA8"/>
    <w:rsid w:val="7D376B33"/>
    <w:rsid w:val="7D6349FD"/>
    <w:rsid w:val="7D901798"/>
    <w:rsid w:val="7DDC13C7"/>
    <w:rsid w:val="7E15463C"/>
    <w:rsid w:val="7E1F5A45"/>
    <w:rsid w:val="7E266DD3"/>
    <w:rsid w:val="7E461224"/>
    <w:rsid w:val="7E5C45A3"/>
    <w:rsid w:val="7E8B6C36"/>
    <w:rsid w:val="7E9E4525"/>
    <w:rsid w:val="7EBE7E5E"/>
    <w:rsid w:val="7ECB1729"/>
    <w:rsid w:val="7ECF2FC7"/>
    <w:rsid w:val="7EE8052D"/>
    <w:rsid w:val="7EF1C6EF"/>
    <w:rsid w:val="7F315A30"/>
    <w:rsid w:val="7F427C3D"/>
    <w:rsid w:val="7F9F508F"/>
    <w:rsid w:val="7FB81CAD"/>
    <w:rsid w:val="7FD12D6F"/>
    <w:rsid w:val="7FE5681A"/>
    <w:rsid w:val="7FF76C79"/>
    <w:rsid w:val="8FDFC48F"/>
    <w:rsid w:val="FFDF817F"/>
    <w:rsid w:val="FFEF4A99"/>
    <w:rsid w:val="FFF29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360" w:lineRule="auto"/>
      <w:ind w:firstLine="420" w:firstLineChars="200"/>
      <w:jc w:val="both"/>
    </w:pPr>
    <w:rPr>
      <w:rFonts w:cs="宋体" w:asciiTheme="minorEastAsia" w:hAnsiTheme="minorEastAsia" w:eastAsiaTheme="minorEastAsia"/>
      <w:sz w:val="21"/>
      <w:lang w:val="en-US" w:eastAsia="zh-CN" w:bidi="zh-TW"/>
    </w:rPr>
  </w:style>
  <w:style w:type="paragraph" w:styleId="2">
    <w:name w:val="heading 1"/>
    <w:basedOn w:val="1"/>
    <w:next w:val="1"/>
    <w:qFormat/>
    <w:uiPriority w:val="0"/>
    <w:pPr>
      <w:keepNext/>
      <w:keepLines/>
      <w:outlineLvl w:val="0"/>
    </w:pPr>
    <w:rPr>
      <w:rFonts w:eastAsia="黑体"/>
      <w:b/>
      <w:kern w:val="44"/>
      <w:sz w:val="28"/>
    </w:rPr>
  </w:style>
  <w:style w:type="paragraph" w:styleId="3">
    <w:name w:val="heading 2"/>
    <w:basedOn w:val="1"/>
    <w:next w:val="1"/>
    <w:unhideWhenUsed/>
    <w:qFormat/>
    <w:uiPriority w:val="0"/>
    <w:pPr>
      <w:keepNext/>
      <w:keepLines/>
      <w:numPr>
        <w:ilvl w:val="1"/>
        <w:numId w:val="1"/>
      </w:numPr>
      <w:outlineLvl w:val="1"/>
    </w:pPr>
    <w:rPr>
      <w:rFonts w:ascii="Arial" w:hAnsi="Arial" w:eastAsia="楷体_GB2312" w:cstheme="minorBidi"/>
      <w:b/>
      <w:bCs/>
      <w:sz w:val="24"/>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style>
  <w:style w:type="paragraph" w:styleId="5">
    <w:name w:val="Body Text"/>
    <w:basedOn w:val="1"/>
    <w:semiHidden/>
    <w:qFormat/>
    <w:uiPriority w:val="0"/>
    <w:rPr>
      <w:rFonts w:ascii="黑体" w:hAnsi="黑体" w:eastAsia="黑体" w:cs="黑体"/>
      <w:sz w:val="28"/>
      <w:szCs w:val="28"/>
      <w:lang w:eastAsia="en-US" w:bidi="ar-SA"/>
    </w:rPr>
  </w:style>
  <w:style w:type="paragraph" w:styleId="6">
    <w:name w:val="Plain Text"/>
    <w:basedOn w:val="1"/>
    <w:next w:val="1"/>
    <w:qFormat/>
    <w:uiPriority w:val="0"/>
    <w:rPr>
      <w:rFonts w:ascii="宋体" w:hAnsi="Courier New"/>
    </w:rPr>
  </w:style>
  <w:style w:type="paragraph" w:styleId="7">
    <w:name w:val="footer"/>
    <w:basedOn w:val="1"/>
    <w:qFormat/>
    <w:uiPriority w:val="99"/>
    <w:pPr>
      <w:ind w:right="210" w:rightChars="100"/>
      <w:jc w:val="righ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9">
    <w:name w:val="Normal (Web)"/>
    <w:basedOn w:val="1"/>
    <w:qFormat/>
    <w:uiPriority w:val="0"/>
    <w:pPr>
      <w:spacing w:beforeAutospacing="1" w:afterAutospacing="1"/>
    </w:pPr>
    <w:rPr>
      <w:rFonts w:hint="eastAsia" w:ascii="宋体" w:hAnsi="宋体"/>
      <w:sz w:val="24"/>
    </w:rPr>
  </w:style>
  <w:style w:type="table" w:styleId="11">
    <w:name w:val="Table Grid"/>
    <w:basedOn w:val="1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paragraph" w:customStyle="1" w:styleId="1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
    <w:name w:val="封面标准英文名称"/>
    <w:basedOn w:val="18"/>
    <w:qFormat/>
    <w:uiPriority w:val="0"/>
    <w:pPr>
      <w:framePr w:wrap="around"/>
      <w:spacing w:before="370" w:line="400" w:lineRule="exact"/>
    </w:pPr>
    <w:rPr>
      <w:rFonts w:ascii="Times New Roman"/>
      <w:sz w:val="28"/>
      <w:szCs w:val="28"/>
    </w:rPr>
  </w:style>
  <w:style w:type="paragraph" w:customStyle="1" w:styleId="20">
    <w:name w:val="封面标准文稿类别"/>
    <w:basedOn w:val="21"/>
    <w:qFormat/>
    <w:uiPriority w:val="0"/>
    <w:pPr>
      <w:framePr w:wrap="around"/>
      <w:spacing w:after="160" w:line="240" w:lineRule="auto"/>
    </w:pPr>
    <w:rPr>
      <w:sz w:val="24"/>
    </w:rPr>
  </w:style>
  <w:style w:type="paragraph" w:customStyle="1" w:styleId="21">
    <w:name w:val="封面一致性程度标识"/>
    <w:basedOn w:val="19"/>
    <w:qFormat/>
    <w:uiPriority w:val="0"/>
    <w:pPr>
      <w:framePr w:wrap="around"/>
      <w:spacing w:before="440"/>
    </w:pPr>
    <w:rPr>
      <w:rFonts w:ascii="宋体" w:eastAsia="宋体"/>
    </w:rPr>
  </w:style>
  <w:style w:type="paragraph" w:customStyle="1" w:styleId="22">
    <w:name w:val="封面标准文稿编辑信息"/>
    <w:basedOn w:val="20"/>
    <w:qFormat/>
    <w:uiPriority w:val="0"/>
    <w:pPr>
      <w:framePr w:wrap="around"/>
      <w:spacing w:before="180" w:line="180" w:lineRule="exact"/>
    </w:pPr>
    <w:rPr>
      <w:sz w:val="21"/>
    </w:rPr>
  </w:style>
  <w:style w:type="paragraph" w:customStyle="1" w:styleId="23">
    <w:name w:val="其他发布日期"/>
    <w:basedOn w:val="24"/>
    <w:qFormat/>
    <w:uiPriority w:val="0"/>
    <w:pPr>
      <w:framePr w:wrap="around" w:vAnchor="page" w:hAnchor="text" w:x="1419"/>
    </w:pPr>
  </w:style>
  <w:style w:type="paragraph" w:customStyle="1" w:styleId="2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5">
    <w:name w:val="其他实施日期"/>
    <w:basedOn w:val="26"/>
    <w:qFormat/>
    <w:uiPriority w:val="0"/>
    <w:pPr>
      <w:framePr w:wrap="around"/>
    </w:pPr>
  </w:style>
  <w:style w:type="paragraph" w:customStyle="1" w:styleId="26">
    <w:name w:val="实施日期"/>
    <w:basedOn w:val="24"/>
    <w:qFormat/>
    <w:uiPriority w:val="0"/>
    <w:pPr>
      <w:framePr w:wrap="around" w:vAnchor="page" w:hAnchor="text"/>
      <w:jc w:val="right"/>
    </w:pPr>
  </w:style>
  <w:style w:type="paragraph" w:customStyle="1" w:styleId="27">
    <w:name w:val="其他发布部门"/>
    <w:basedOn w:val="28"/>
    <w:qFormat/>
    <w:uiPriority w:val="0"/>
    <w:pPr>
      <w:framePr w:wrap="around" w:y="15310"/>
      <w:spacing w:line="0" w:lineRule="atLeast"/>
    </w:pPr>
    <w:rPr>
      <w:rFonts w:ascii="黑体" w:eastAsia="黑体"/>
      <w:b w:val="0"/>
    </w:rPr>
  </w:style>
  <w:style w:type="paragraph" w:customStyle="1" w:styleId="28">
    <w:name w:val="发布部门"/>
    <w:next w:val="29"/>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9">
    <w:name w:val="段"/>
    <w:qFormat/>
    <w:uiPriority w:val="0"/>
    <w:pPr>
      <w:tabs>
        <w:tab w:val="center" w:pos="4201"/>
        <w:tab w:val="right" w:leader="dot" w:pos="9298"/>
      </w:tabs>
      <w:autoSpaceDE w:val="0"/>
      <w:autoSpaceDN w:val="0"/>
      <w:spacing w:line="360" w:lineRule="auto"/>
      <w:ind w:firstLine="420" w:firstLineChars="200"/>
      <w:jc w:val="both"/>
    </w:pPr>
    <w:rPr>
      <w:rFonts w:ascii="宋体" w:hAnsi="Times New Roman" w:eastAsia="宋体" w:cs="Times New Roman"/>
      <w:sz w:val="21"/>
      <w:lang w:val="en-US" w:eastAsia="zh-CN" w:bidi="ar-SA"/>
    </w:rPr>
  </w:style>
  <w:style w:type="character" w:customStyle="1" w:styleId="30">
    <w:name w:val="发布"/>
    <w:basedOn w:val="12"/>
    <w:qFormat/>
    <w:uiPriority w:val="0"/>
    <w:rPr>
      <w:rFonts w:ascii="黑体" w:eastAsia="黑体"/>
      <w:spacing w:val="85"/>
      <w:w w:val="100"/>
      <w:position w:val="3"/>
      <w:sz w:val="28"/>
      <w:szCs w:val="28"/>
    </w:rPr>
  </w:style>
  <w:style w:type="paragraph" w:customStyle="1" w:styleId="31">
    <w:name w:val="前言、引言标题"/>
    <w:next w:val="2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Body text|1"/>
    <w:basedOn w:val="1"/>
    <w:qFormat/>
    <w:uiPriority w:val="0"/>
    <w:pPr>
      <w:spacing w:line="312" w:lineRule="auto"/>
    </w:pPr>
    <w:rPr>
      <w:rFonts w:ascii="MingLiU" w:hAnsi="MingLiU" w:eastAsia="MingLiU" w:cs="MingLiU"/>
      <w:sz w:val="20"/>
      <w:lang w:val="zh-TW" w:eastAsia="zh-TW"/>
    </w:rPr>
  </w:style>
  <w:style w:type="paragraph" w:customStyle="1" w:styleId="33">
    <w:name w:val="章标题"/>
    <w:next w:val="29"/>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3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35">
    <w:name w:val="一级无"/>
    <w:basedOn w:val="36"/>
    <w:qFormat/>
    <w:uiPriority w:val="0"/>
    <w:pPr>
      <w:spacing w:beforeLines="0" w:afterLines="0"/>
    </w:pPr>
    <w:rPr>
      <w:rFonts w:ascii="宋体" w:eastAsia="宋体"/>
    </w:rPr>
  </w:style>
  <w:style w:type="paragraph" w:customStyle="1" w:styleId="36">
    <w:name w:val="一级条标题"/>
    <w:next w:val="29"/>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7">
    <w:name w:val="正文表标题"/>
    <w:next w:val="29"/>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8">
    <w:name w:val="注："/>
    <w:next w:val="29"/>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39">
    <w:name w:val="二级无"/>
    <w:basedOn w:val="40"/>
    <w:qFormat/>
    <w:uiPriority w:val="0"/>
    <w:rPr>
      <w:rFonts w:ascii="宋体" w:eastAsia="宋体"/>
    </w:rPr>
  </w:style>
  <w:style w:type="paragraph" w:customStyle="1" w:styleId="40">
    <w:name w:val="二级条标题"/>
    <w:basedOn w:val="36"/>
    <w:next w:val="29"/>
    <w:qFormat/>
    <w:uiPriority w:val="0"/>
    <w:pPr>
      <w:numPr>
        <w:ilvl w:val="2"/>
      </w:numPr>
      <w:spacing w:beforeLines="0" w:afterLines="0" w:line="360" w:lineRule="auto"/>
      <w:jc w:val="both"/>
      <w:outlineLvl w:val="3"/>
    </w:pPr>
  </w:style>
  <w:style w:type="paragraph" w:customStyle="1" w:styleId="41">
    <w:name w:val="三级无"/>
    <w:basedOn w:val="42"/>
    <w:qFormat/>
    <w:uiPriority w:val="0"/>
    <w:rPr>
      <w:rFonts w:ascii="宋体" w:eastAsia="宋体"/>
    </w:rPr>
  </w:style>
  <w:style w:type="paragraph" w:customStyle="1" w:styleId="42">
    <w:name w:val="三级条标题"/>
    <w:basedOn w:val="40"/>
    <w:next w:val="29"/>
    <w:qFormat/>
    <w:uiPriority w:val="0"/>
    <w:pPr>
      <w:numPr>
        <w:ilvl w:val="3"/>
      </w:numPr>
      <w:outlineLvl w:val="4"/>
    </w:pPr>
  </w:style>
  <w:style w:type="paragraph" w:customStyle="1" w:styleId="43">
    <w:name w:val="字母编号列项（一级）"/>
    <w:qFormat/>
    <w:uiPriority w:val="0"/>
    <w:pPr>
      <w:numPr>
        <w:ilvl w:val="0"/>
        <w:numId w:val="6"/>
      </w:numPr>
      <w:jc w:val="both"/>
    </w:pPr>
    <w:rPr>
      <w:rFonts w:ascii="宋体" w:hAnsi="Times New Roman" w:eastAsia="宋体" w:cs="Times New Roman"/>
      <w:sz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7">
    <w:name w:val="标准书眉_奇数页"/>
    <w:next w:val="1"/>
    <w:qFormat/>
    <w:uiPriority w:val="0"/>
    <w:pPr>
      <w:spacing w:after="120"/>
      <w:jc w:val="right"/>
    </w:pPr>
    <w:rPr>
      <w:rFonts w:ascii="Times New Roman" w:hAnsi="Times New Roman" w:eastAsia="宋体" w:cs="Times New Roman"/>
      <w:sz w:val="21"/>
      <w:lang w:val="en-US" w:eastAsia="zh-CN" w:bidi="ar-SA"/>
    </w:rPr>
  </w:style>
  <w:style w:type="paragraph" w:customStyle="1" w:styleId="4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49">
    <w:name w:val="标准文件_术语条一"/>
    <w:basedOn w:val="50"/>
    <w:next w:val="53"/>
    <w:qFormat/>
    <w:uiPriority w:val="0"/>
  </w:style>
  <w:style w:type="paragraph" w:customStyle="1" w:styleId="50">
    <w:name w:val="标准文件_一级无标题"/>
    <w:basedOn w:val="51"/>
    <w:qFormat/>
    <w:uiPriority w:val="0"/>
    <w:pPr>
      <w:spacing w:before="0" w:beforeLines="0" w:after="0" w:afterLines="0"/>
      <w:outlineLvl w:val="9"/>
    </w:pPr>
    <w:rPr>
      <w:rFonts w:ascii="宋体" w:eastAsia="宋体"/>
    </w:rPr>
  </w:style>
  <w:style w:type="paragraph" w:customStyle="1" w:styleId="51">
    <w:name w:val="标准文件_一级条标题"/>
    <w:basedOn w:val="52"/>
    <w:next w:val="53"/>
    <w:qFormat/>
    <w:uiPriority w:val="0"/>
    <w:pPr>
      <w:numPr>
        <w:ilvl w:val="2"/>
      </w:numPr>
      <w:spacing w:before="50" w:beforeLines="50" w:after="50" w:afterLines="50"/>
      <w:outlineLvl w:val="1"/>
    </w:pPr>
  </w:style>
  <w:style w:type="paragraph" w:customStyle="1" w:styleId="52">
    <w:name w:val="标准文件_章标题"/>
    <w:next w:val="53"/>
    <w:qFormat/>
    <w:uiPriority w:val="0"/>
    <w:pPr>
      <w:numPr>
        <w:ilvl w:val="1"/>
        <w:numId w:val="7"/>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4">
    <w:name w:val="font21"/>
    <w:basedOn w:val="12"/>
    <w:qFormat/>
    <w:uiPriority w:val="0"/>
    <w:rPr>
      <w:rFonts w:hint="default" w:ascii="Times New Roman" w:hAnsi="Times New Roman" w:cs="Times New Roman"/>
      <w:color w:val="000000"/>
      <w:sz w:val="21"/>
      <w:szCs w:val="21"/>
      <w:u w:val="none"/>
    </w:rPr>
  </w:style>
  <w:style w:type="character" w:customStyle="1" w:styleId="55">
    <w:name w:val="font11"/>
    <w:basedOn w:val="12"/>
    <w:qFormat/>
    <w:uiPriority w:val="0"/>
    <w:rPr>
      <w:rFonts w:hint="eastAsia" w:ascii="宋体" w:hAnsi="宋体" w:eastAsia="宋体" w:cs="宋体"/>
      <w:color w:val="000000"/>
      <w:sz w:val="21"/>
      <w:szCs w:val="21"/>
      <w:u w:val="none"/>
    </w:rPr>
  </w:style>
  <w:style w:type="paragraph" w:customStyle="1" w:styleId="56">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57">
    <w:name w:val="msolistparagraph"/>
    <w:basedOn w:val="1"/>
    <w:qFormat/>
    <w:uiPriority w:val="0"/>
    <w:rPr>
      <w:rFonts w:hint="eastAsia" w:ascii="等线" w:hAnsi="等线" w:eastAsia="等线"/>
    </w:rPr>
  </w:style>
  <w:style w:type="paragraph" w:styleId="58">
    <w:name w:val="List Paragraph"/>
    <w:basedOn w:val="1"/>
    <w:unhideWhenUsed/>
    <w:qFormat/>
    <w:uiPriority w:val="99"/>
  </w:style>
  <w:style w:type="paragraph" w:customStyle="1" w:styleId="59">
    <w:name w:val="Table Text"/>
    <w:basedOn w:val="1"/>
    <w:semiHidden/>
    <w:qFormat/>
    <w:uiPriority w:val="0"/>
    <w:rPr>
      <w:rFonts w:ascii="宋体" w:hAnsi="宋体" w:eastAsia="宋体"/>
      <w:sz w:val="18"/>
      <w:szCs w:val="18"/>
      <w:lang w:eastAsia="en-US" w:bidi="ar-SA"/>
    </w:rPr>
  </w:style>
  <w:style w:type="table" w:customStyle="1" w:styleId="6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5104</Words>
  <Characters>5860</Characters>
  <Lines>177</Lines>
  <Paragraphs>226</Paragraphs>
  <TotalTime>0</TotalTime>
  <ScaleCrop>false</ScaleCrop>
  <LinksUpToDate>false</LinksUpToDate>
  <CharactersWithSpaces>6167</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2024-07-25T21:47:00Z</dcterms:created>
  <dc:creator>wxx</dc:creator>
  <cp:lastModifiedBy>李丹</cp:lastModifiedBy>
  <dcterms:modified xsi:type="dcterms:W3CDTF">2025-06-10T15:53:32Z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50288F5F653D2835C016406893B8FB62_43</vt:lpwstr>
  </property>
  <property fmtid="{D5CDD505-2E9C-101B-9397-08002B2CF9AE}" pid="4" name="KSOTemplateDocerSaveRecord">
    <vt:lpwstr>eyJoZGlkIjoiN2JjNjlkY2Y1Y2NkZGE5Y2Q5NGZmMDVlNzZhMDkwMDUiLCJ1c2VySWQiOiI2NzY3MTU3NDcifQ==</vt:lpwstr>
  </property>
</Properties>
</file>